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i w:val="0"/>
          <w:iCs w:val="0"/>
          <w:caps w:val="0"/>
          <w:color w:val="000000"/>
          <w:spacing w:val="0"/>
          <w:sz w:val="36"/>
          <w:szCs w:val="36"/>
          <w:lang w:val="en-US" w:eastAsia="zh-CN"/>
        </w:rPr>
      </w:pPr>
      <w:r>
        <w:rPr>
          <w:rFonts w:hint="eastAsia" w:ascii="微软雅黑" w:hAnsi="微软雅黑" w:eastAsia="微软雅黑" w:cs="微软雅黑"/>
          <w:i w:val="0"/>
          <w:iCs w:val="0"/>
          <w:caps w:val="0"/>
          <w:color w:val="000000"/>
          <w:spacing w:val="0"/>
          <w:sz w:val="36"/>
          <w:szCs w:val="36"/>
          <w:lang w:val="en-US" w:eastAsia="zh-CN"/>
        </w:rPr>
        <w:t>景德镇学研究中心2021年度</w:t>
      </w:r>
      <w:r>
        <w:rPr>
          <w:rFonts w:ascii="微软雅黑" w:hAnsi="微软雅黑" w:eastAsia="微软雅黑" w:cs="微软雅黑"/>
          <w:i w:val="0"/>
          <w:iCs w:val="0"/>
          <w:caps w:val="0"/>
          <w:color w:val="000000"/>
          <w:spacing w:val="0"/>
          <w:sz w:val="36"/>
          <w:szCs w:val="36"/>
        </w:rPr>
        <w:t>委托项目</w:t>
      </w:r>
      <w:r>
        <w:rPr>
          <w:rFonts w:hint="eastAsia" w:ascii="微软雅黑" w:hAnsi="微软雅黑" w:eastAsia="微软雅黑" w:cs="微软雅黑"/>
          <w:i w:val="0"/>
          <w:iCs w:val="0"/>
          <w:caps w:val="0"/>
          <w:color w:val="000000"/>
          <w:spacing w:val="0"/>
          <w:sz w:val="36"/>
          <w:szCs w:val="36"/>
          <w:lang w:eastAsia="zh-CN"/>
        </w:rPr>
        <w:t>拟</w:t>
      </w:r>
      <w:r>
        <w:rPr>
          <w:rFonts w:hint="eastAsia" w:ascii="微软雅黑" w:hAnsi="微软雅黑" w:eastAsia="微软雅黑" w:cs="微软雅黑"/>
          <w:i w:val="0"/>
          <w:iCs w:val="0"/>
          <w:caps w:val="0"/>
          <w:color w:val="000000"/>
          <w:spacing w:val="0"/>
          <w:sz w:val="36"/>
          <w:szCs w:val="36"/>
          <w:lang w:val="en-US" w:eastAsia="zh-CN"/>
        </w:rPr>
        <w:t>立项名单</w:t>
      </w:r>
      <w:bookmarkStart w:id="0" w:name="_GoBack"/>
      <w:bookmarkEnd w:id="0"/>
    </w:p>
    <w:tbl>
      <w:tblPr>
        <w:tblStyle w:val="4"/>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951"/>
        <w:gridCol w:w="5310"/>
        <w:gridCol w:w="1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微软雅黑" w:hAnsi="微软雅黑" w:eastAsia="微软雅黑" w:cs="微软雅黑"/>
                <w:i w:val="0"/>
                <w:iCs w:val="0"/>
                <w:caps w:val="0"/>
                <w:color w:val="000000"/>
                <w:spacing w:val="0"/>
                <w:sz w:val="44"/>
                <w:szCs w:val="4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序号</w:t>
            </w:r>
          </w:p>
        </w:tc>
        <w:tc>
          <w:tcPr>
            <w:tcW w:w="1951"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委托方向</w:t>
            </w:r>
          </w:p>
        </w:tc>
        <w:tc>
          <w:tcPr>
            <w:tcW w:w="5310"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立项题目</w:t>
            </w:r>
          </w:p>
        </w:tc>
        <w:tc>
          <w:tcPr>
            <w:tcW w:w="1335"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申报人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w:t>
            </w:r>
          </w:p>
        </w:tc>
        <w:tc>
          <w:tcPr>
            <w:tcW w:w="1951" w:type="dxa"/>
            <w:vAlign w:val="center"/>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景德镇宋、元时期青白瓷酒具型制演变研究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景德镇宋元时期青白瓷梅瓶造型演变研究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刘永红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宋元时期景德镇青白瓷科技考古研究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宋元时期景德镇青白瓷科技考古研究</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方涛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highlight w:val="none"/>
                <w:vertAlign w:val="baseline"/>
                <w:lang w:val="en-US" w:eastAsia="zh-CN"/>
              </w:rPr>
            </w:pPr>
            <w:r>
              <w:rPr>
                <w:rFonts w:hint="eastAsia" w:ascii="楷体" w:hAnsi="楷体" w:eastAsia="楷体" w:cs="楷体"/>
                <w:i w:val="0"/>
                <w:iCs w:val="0"/>
                <w:caps w:val="0"/>
                <w:color w:val="000000"/>
                <w:spacing w:val="0"/>
                <w:sz w:val="24"/>
                <w:szCs w:val="24"/>
                <w:highlight w:val="none"/>
                <w:vertAlign w:val="baseline"/>
                <w:lang w:val="en-US" w:eastAsia="zh-CN"/>
              </w:rPr>
              <w:t>3</w:t>
            </w:r>
          </w:p>
        </w:tc>
        <w:tc>
          <w:tcPr>
            <w:tcW w:w="1951" w:type="dxa"/>
          </w:tcPr>
          <w:p>
            <w:pPr>
              <w:jc w:val="center"/>
              <w:rPr>
                <w:rFonts w:hint="default" w:ascii="楷体" w:hAnsi="楷体" w:eastAsia="楷体" w:cs="楷体"/>
                <w:i w:val="0"/>
                <w:iCs w:val="0"/>
                <w:caps w:val="0"/>
                <w:color w:val="000000"/>
                <w:spacing w:val="0"/>
                <w:sz w:val="21"/>
                <w:szCs w:val="21"/>
                <w:highlight w:val="none"/>
                <w:vertAlign w:val="baseline"/>
                <w:lang w:val="en-US" w:eastAsia="zh-CN"/>
              </w:rPr>
            </w:pPr>
            <w:r>
              <w:rPr>
                <w:rFonts w:hint="default" w:ascii="楷体" w:hAnsi="楷体" w:eastAsia="楷体" w:cs="楷体"/>
                <w:i w:val="0"/>
                <w:iCs w:val="0"/>
                <w:caps w:val="0"/>
                <w:color w:val="000000"/>
                <w:spacing w:val="0"/>
                <w:sz w:val="21"/>
                <w:szCs w:val="21"/>
                <w:highlight w:val="none"/>
                <w:vertAlign w:val="baseline"/>
                <w:lang w:val="en-US" w:eastAsia="zh-CN"/>
              </w:rPr>
              <w:t>宋代景德镇“香炉”系列青白瓷的形制演变及其特征浅析</w:t>
            </w:r>
          </w:p>
        </w:tc>
        <w:tc>
          <w:tcPr>
            <w:tcW w:w="5310" w:type="dxa"/>
          </w:tcPr>
          <w:p>
            <w:pPr>
              <w:jc w:val="center"/>
              <w:rPr>
                <w:rFonts w:hint="default" w:ascii="楷体" w:hAnsi="楷体" w:eastAsia="楷体" w:cs="楷体"/>
                <w:i w:val="0"/>
                <w:iCs w:val="0"/>
                <w:caps w:val="0"/>
                <w:color w:val="000000"/>
                <w:spacing w:val="0"/>
                <w:sz w:val="21"/>
                <w:szCs w:val="21"/>
                <w:highlight w:val="none"/>
                <w:vertAlign w:val="baseline"/>
                <w:lang w:val="en-US" w:eastAsia="zh-CN"/>
              </w:rPr>
            </w:pPr>
            <w:r>
              <w:rPr>
                <w:rFonts w:hint="default" w:ascii="楷体" w:hAnsi="楷体" w:eastAsia="楷体" w:cs="楷体"/>
                <w:i w:val="0"/>
                <w:iCs w:val="0"/>
                <w:caps w:val="0"/>
                <w:color w:val="000000"/>
                <w:spacing w:val="0"/>
                <w:sz w:val="21"/>
                <w:szCs w:val="21"/>
                <w:highlight w:val="none"/>
                <w:vertAlign w:val="baseline"/>
                <w:lang w:val="en-US" w:eastAsia="zh-CN"/>
              </w:rPr>
              <w:t>宋代景德镇“香炉”系列青白瓷的形制演变及其特征浅析</w:t>
            </w:r>
          </w:p>
        </w:tc>
        <w:tc>
          <w:tcPr>
            <w:tcW w:w="1335" w:type="dxa"/>
          </w:tcPr>
          <w:p>
            <w:pPr>
              <w:jc w:val="center"/>
              <w:rPr>
                <w:rFonts w:hint="default" w:ascii="楷体" w:hAnsi="楷体" w:eastAsia="楷体" w:cs="楷体"/>
                <w:i w:val="0"/>
                <w:iCs w:val="0"/>
                <w:caps w:val="0"/>
                <w:color w:val="000000"/>
                <w:spacing w:val="0"/>
                <w:sz w:val="21"/>
                <w:szCs w:val="21"/>
                <w:highlight w:val="none"/>
                <w:vertAlign w:val="baseline"/>
                <w:lang w:val="en-US" w:eastAsia="zh-CN"/>
              </w:rPr>
            </w:pPr>
            <w:r>
              <w:rPr>
                <w:rFonts w:hint="eastAsia" w:ascii="楷体" w:hAnsi="楷体" w:eastAsia="楷体" w:cs="楷体"/>
                <w:i w:val="0"/>
                <w:iCs w:val="0"/>
                <w:caps w:val="0"/>
                <w:color w:val="000000"/>
                <w:spacing w:val="0"/>
                <w:sz w:val="21"/>
                <w:szCs w:val="21"/>
                <w:highlight w:val="none"/>
                <w:vertAlign w:val="baseline"/>
                <w:lang w:val="en-US" w:eastAsia="zh-CN"/>
              </w:rPr>
              <w:t>吴光昊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博物馆文创产品的制作与应用——以宋代景德镇青白瓷酒具为例</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博物馆文创产品的制作与应用——以宋代景德镇青白瓷酒具为例</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陈猛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5</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从宋青白瓷看文人思潮下的雅集活动</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从宋青白瓷看文人思潮下的雅集活动</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余轩宇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highlight w:val="none"/>
                <w:vertAlign w:val="baseline"/>
                <w:lang w:val="en-US" w:eastAsia="zh-CN"/>
              </w:rPr>
            </w:pPr>
            <w:r>
              <w:rPr>
                <w:rFonts w:hint="eastAsia" w:ascii="楷体" w:hAnsi="楷体" w:eastAsia="楷体" w:cs="楷体"/>
                <w:i w:val="0"/>
                <w:iCs w:val="0"/>
                <w:caps w:val="0"/>
                <w:color w:val="000000"/>
                <w:spacing w:val="0"/>
                <w:sz w:val="24"/>
                <w:szCs w:val="24"/>
                <w:highlight w:val="none"/>
                <w:vertAlign w:val="baseline"/>
                <w:lang w:val="en-US" w:eastAsia="zh-CN"/>
              </w:rPr>
              <w:t>6</w:t>
            </w:r>
          </w:p>
        </w:tc>
        <w:tc>
          <w:tcPr>
            <w:tcW w:w="1951" w:type="dxa"/>
          </w:tcPr>
          <w:p>
            <w:pPr>
              <w:jc w:val="center"/>
              <w:rPr>
                <w:rFonts w:hint="default" w:ascii="楷体" w:hAnsi="楷体" w:eastAsia="楷体" w:cs="楷体"/>
                <w:i w:val="0"/>
                <w:iCs w:val="0"/>
                <w:caps w:val="0"/>
                <w:color w:val="000000"/>
                <w:spacing w:val="0"/>
                <w:sz w:val="21"/>
                <w:szCs w:val="21"/>
                <w:highlight w:val="none"/>
                <w:vertAlign w:val="baseline"/>
                <w:lang w:val="en-US" w:eastAsia="zh-CN"/>
              </w:rPr>
            </w:pPr>
            <w:r>
              <w:rPr>
                <w:rFonts w:hint="default" w:ascii="楷体" w:hAnsi="楷体" w:eastAsia="楷体" w:cs="楷体"/>
                <w:i w:val="0"/>
                <w:iCs w:val="0"/>
                <w:caps w:val="0"/>
                <w:color w:val="000000"/>
                <w:spacing w:val="0"/>
                <w:sz w:val="21"/>
                <w:szCs w:val="21"/>
                <w:highlight w:val="none"/>
                <w:vertAlign w:val="baseline"/>
                <w:lang w:val="en-US" w:eastAsia="zh-CN"/>
              </w:rPr>
              <w:t>宋元时期景德镇青白瓷釉与卵白瓷釉科技考古分析</w:t>
            </w:r>
          </w:p>
        </w:tc>
        <w:tc>
          <w:tcPr>
            <w:tcW w:w="5310" w:type="dxa"/>
          </w:tcPr>
          <w:p>
            <w:pPr>
              <w:jc w:val="center"/>
              <w:rPr>
                <w:rFonts w:hint="default" w:ascii="楷体" w:hAnsi="楷体" w:eastAsia="楷体" w:cs="楷体"/>
                <w:i w:val="0"/>
                <w:iCs w:val="0"/>
                <w:caps w:val="0"/>
                <w:color w:val="000000"/>
                <w:spacing w:val="0"/>
                <w:sz w:val="21"/>
                <w:szCs w:val="21"/>
                <w:highlight w:val="none"/>
                <w:vertAlign w:val="baseline"/>
                <w:lang w:val="en-US" w:eastAsia="zh-CN"/>
              </w:rPr>
            </w:pPr>
            <w:r>
              <w:rPr>
                <w:rFonts w:hint="default" w:ascii="楷体" w:hAnsi="楷体" w:eastAsia="楷体" w:cs="楷体"/>
                <w:i w:val="0"/>
                <w:iCs w:val="0"/>
                <w:caps w:val="0"/>
                <w:color w:val="000000"/>
                <w:spacing w:val="0"/>
                <w:sz w:val="21"/>
                <w:szCs w:val="21"/>
                <w:highlight w:val="none"/>
                <w:vertAlign w:val="baseline"/>
                <w:lang w:val="en-US" w:eastAsia="zh-CN"/>
              </w:rPr>
              <w:t>宋元时期景德镇青白瓷釉与卵白瓷釉科技考古分析</w:t>
            </w:r>
          </w:p>
        </w:tc>
        <w:tc>
          <w:tcPr>
            <w:tcW w:w="1335" w:type="dxa"/>
          </w:tcPr>
          <w:p>
            <w:pPr>
              <w:jc w:val="center"/>
              <w:rPr>
                <w:rFonts w:hint="default" w:ascii="楷体" w:hAnsi="楷体" w:eastAsia="楷体" w:cs="楷体"/>
                <w:i w:val="0"/>
                <w:iCs w:val="0"/>
                <w:caps w:val="0"/>
                <w:color w:val="000000"/>
                <w:spacing w:val="0"/>
                <w:sz w:val="21"/>
                <w:szCs w:val="21"/>
                <w:highlight w:val="none"/>
                <w:vertAlign w:val="baseline"/>
                <w:lang w:val="en-US" w:eastAsia="zh-CN"/>
              </w:rPr>
            </w:pPr>
            <w:r>
              <w:rPr>
                <w:rFonts w:hint="eastAsia" w:ascii="楷体" w:hAnsi="楷体" w:eastAsia="楷体" w:cs="楷体"/>
                <w:i w:val="0"/>
                <w:iCs w:val="0"/>
                <w:caps w:val="0"/>
                <w:color w:val="000000"/>
                <w:spacing w:val="0"/>
                <w:sz w:val="21"/>
                <w:szCs w:val="21"/>
                <w:highlight w:val="none"/>
                <w:vertAlign w:val="baseline"/>
                <w:lang w:val="en-US" w:eastAsia="zh-CN"/>
              </w:rPr>
              <w:t>于欢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7</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宋代青白瓷铭文款识融入现代陶瓷艺术创作</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宋代青白瓷铭文款识融入现代陶瓷艺术创作</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吴红云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8</w:t>
            </w:r>
          </w:p>
        </w:tc>
        <w:tc>
          <w:tcPr>
            <w:tcW w:w="1951" w:type="dxa"/>
            <w:vAlign w:val="center"/>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宋代青白瓷饮食器造型特征融入现代餐具设计应用</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宋代青白瓷饮食器造型特征融入现代餐具设计应用</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方莉敏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9</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青白瓷与中华家规家训的结合创作</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青白瓷与中华家规家训的结合创作</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王智鸿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10</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以“心-物”关系为审美观照的当代青白瓷茶具设计研究</w:t>
            </w:r>
          </w:p>
        </w:tc>
        <w:tc>
          <w:tcPr>
            <w:tcW w:w="5310" w:type="dxa"/>
          </w:tcPr>
          <w:p>
            <w:pPr>
              <w:jc w:val="both"/>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以“心-物”关系为审美观照的当代青白瓷茶具设计研究</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徐三强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11</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浅浮雕技法在现代青白瓷创作中的运用与表达</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浅浮雕技法在现代青白瓷创作中的运用与表达</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程幸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12</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传统青白瓷在现代生活方式下的陶瓷艺术设计创新研究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传统青白瓷在现代生活方式下的陶瓷艺术设计创新研究</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张博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13</w:t>
            </w:r>
          </w:p>
        </w:tc>
        <w:tc>
          <w:tcPr>
            <w:tcW w:w="1951" w:type="dxa"/>
            <w:vAlign w:val="center"/>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宋元时期的青白瓷装饰工艺对现代陶艺创作的影响</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宋元时期青白瓷</w:t>
            </w:r>
            <w:r>
              <w:rPr>
                <w:rFonts w:hint="eastAsia" w:ascii="楷体" w:hAnsi="楷体" w:eastAsia="楷体" w:cs="楷体"/>
                <w:i w:val="0"/>
                <w:iCs w:val="0"/>
                <w:caps w:val="0"/>
                <w:color w:val="000000"/>
                <w:spacing w:val="0"/>
                <w:sz w:val="21"/>
                <w:szCs w:val="21"/>
                <w:vertAlign w:val="baseline"/>
                <w:lang w:val="en-US" w:eastAsia="zh-CN"/>
              </w:rPr>
              <w:t>刻划花</w:t>
            </w:r>
            <w:r>
              <w:rPr>
                <w:rFonts w:hint="default" w:ascii="楷体" w:hAnsi="楷体" w:eastAsia="楷体" w:cs="楷体"/>
                <w:i w:val="0"/>
                <w:iCs w:val="0"/>
                <w:caps w:val="0"/>
                <w:color w:val="000000"/>
                <w:spacing w:val="0"/>
                <w:sz w:val="21"/>
                <w:szCs w:val="21"/>
                <w:vertAlign w:val="baseline"/>
                <w:lang w:val="en-US" w:eastAsia="zh-CN"/>
              </w:rPr>
              <w:t>装饰工艺对现代陶艺创作的影响</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方娟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14</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景德镇青白瓷技法与现代灯光技术结合在教席大楼环境中的设计与表现研究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景德镇青白瓷技法与现代灯光技术结合在教席大楼环境中的设计与表现研究</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黄芬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15</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宋代青白瓷与宋代人的生活方式研究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宋代青白瓷与宋代人的生活方式研究</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肖晓署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16</w:t>
            </w:r>
          </w:p>
        </w:tc>
        <w:tc>
          <w:tcPr>
            <w:tcW w:w="1951" w:type="dxa"/>
            <w:vAlign w:val="center"/>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宋代半刀泥工艺技法在现当代器型上的运用与再设计</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宋代半刀泥工艺技法在现当代器型上的运用与再设计</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方漫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17</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景德镇的自然环境、人文生态、历史沿革与景德镇学立学研究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景德镇的自然环境、人文生态与景德镇学立学研究</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高嘉城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18</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景德镇陶瓷业的兴盛与发展、瓷器特征和景德镇学</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景德镇陶瓷业的兴盛与发展、</w:t>
            </w:r>
            <w:r>
              <w:rPr>
                <w:rFonts w:hint="eastAsia" w:ascii="楷体" w:hAnsi="楷体" w:eastAsia="楷体" w:cs="楷体"/>
                <w:i w:val="0"/>
                <w:iCs w:val="0"/>
                <w:caps w:val="0"/>
                <w:color w:val="000000"/>
                <w:spacing w:val="0"/>
                <w:sz w:val="21"/>
                <w:szCs w:val="21"/>
                <w:vertAlign w:val="baseline"/>
                <w:lang w:val="en-US" w:eastAsia="zh-CN"/>
              </w:rPr>
              <w:t>陶瓷</w:t>
            </w:r>
            <w:r>
              <w:rPr>
                <w:rFonts w:hint="default" w:ascii="楷体" w:hAnsi="楷体" w:eastAsia="楷体" w:cs="楷体"/>
                <w:i w:val="0"/>
                <w:iCs w:val="0"/>
                <w:caps w:val="0"/>
                <w:color w:val="000000"/>
                <w:spacing w:val="0"/>
                <w:sz w:val="21"/>
                <w:szCs w:val="21"/>
                <w:vertAlign w:val="baseline"/>
                <w:lang w:val="en-US" w:eastAsia="zh-CN"/>
              </w:rPr>
              <w:t>特征和景德镇学</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张琳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19</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景德镇地域文化与其特征和景德镇学</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景德镇地域文化与其特征和景德镇学</w:t>
            </w:r>
          </w:p>
        </w:tc>
        <w:tc>
          <w:tcPr>
            <w:tcW w:w="1335"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姚若晗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20</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景德镇学的概念及其产生背景研究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景德镇学的概念及其产生背景研究</w:t>
            </w:r>
          </w:p>
        </w:tc>
        <w:tc>
          <w:tcPr>
            <w:tcW w:w="1335" w:type="dxa"/>
            <w:vAlign w:val="top"/>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姚若晗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21</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景德镇学的研究对象与新文科学科性质和学科特色研究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新文科背景下景德镇学发展路径研究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臧莎莎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22</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景德镇学的研究方法与学科体系研究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景德镇学的研究方法与学科体系研究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袁媛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23</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景德镇学与景德镇陶瓷学的比较研究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default" w:ascii="楷体" w:hAnsi="楷体" w:eastAsia="楷体" w:cs="楷体"/>
                <w:i w:val="0"/>
                <w:iCs w:val="0"/>
                <w:caps w:val="0"/>
                <w:color w:val="000000"/>
                <w:spacing w:val="0"/>
                <w:sz w:val="21"/>
                <w:szCs w:val="21"/>
                <w:vertAlign w:val="baseline"/>
                <w:lang w:val="en-US" w:eastAsia="zh-CN"/>
              </w:rPr>
              <w:t>景德镇学与景德镇陶瓷学的比较研究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吴维惠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24</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景德镇学与景德镇市学的比较研究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景德镇学与景德镇市学的比较研究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姜源傅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25</w:t>
            </w:r>
          </w:p>
        </w:tc>
        <w:tc>
          <w:tcPr>
            <w:tcW w:w="1951"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景德镇御窑器特征和风格与中国人的雅文化生活方式及审美样式研究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景德镇御窑器特征和风格与中国人的雅文化生活方式及审美样式研究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徐望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26</w:t>
            </w:r>
          </w:p>
        </w:tc>
        <w:tc>
          <w:tcPr>
            <w:tcW w:w="1951"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景德镇民窑器特征和风格与中国人的俗文化生活方式及审美样式研究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景德镇民窑器特征和风格与中国人的俗文化生活方式及审美样式研究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陈思雨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27</w:t>
            </w:r>
          </w:p>
        </w:tc>
        <w:tc>
          <w:tcPr>
            <w:tcW w:w="1951"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景德镇陶瓷“器成天下走”和“陶瓷之路”与新时代“一带一路”角色、地位与影响研究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 xml:space="preserve">景德镇陶瓷“器成天下走”和“陶瓷之路”与新时代“一带一路”角色、地位与影响研究——以十四世纪景德镇青花外销瓷对泰国宋加洛窑演变影响为例 </w:t>
            </w:r>
          </w:p>
        </w:tc>
        <w:tc>
          <w:tcPr>
            <w:tcW w:w="1335" w:type="dxa"/>
            <w:vAlign w:val="top"/>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 xml:space="preserve">章明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28</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景德镇陶瓷“工匠八方来”与景德镇开放包容精神研究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景德镇陶瓷“工匠八方来”与景德镇开放包容精神研究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邵建春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29</w:t>
            </w:r>
          </w:p>
        </w:tc>
        <w:tc>
          <w:tcPr>
            <w:tcW w:w="1951"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景德镇陶瓷生产制作与中国造物观研究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景德镇陶瓷生产制作与中国造物观研究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江婉璐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30</w:t>
            </w:r>
          </w:p>
        </w:tc>
        <w:tc>
          <w:tcPr>
            <w:tcW w:w="1951"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景德镇陶瓷鉴定和鉴赏与中国的器物审美研究</w:t>
            </w:r>
          </w:p>
        </w:tc>
        <w:tc>
          <w:tcPr>
            <w:tcW w:w="5310" w:type="dxa"/>
          </w:tcPr>
          <w:p>
            <w:pPr>
              <w:ind w:firstLine="420" w:firstLineChars="200"/>
              <w:jc w:val="both"/>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景德镇陶瓷鉴定和鉴赏与中国的器物审美研究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赵新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31</w:t>
            </w:r>
          </w:p>
        </w:tc>
        <w:tc>
          <w:tcPr>
            <w:tcW w:w="1951"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景德镇陶瓷与“中国样式”“中国美的样式”研究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景德镇陶瓷：从“中国样式”到“东方设计学”</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刘勃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32</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景德镇陶瓷与“工匠精神”研究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景德镇陶瓷与“工匠精神”研究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吴婵娟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33</w:t>
            </w:r>
          </w:p>
        </w:tc>
        <w:tc>
          <w:tcPr>
            <w:tcW w:w="1951" w:type="dxa"/>
            <w:vAlign w:val="center"/>
          </w:tcPr>
          <w:p>
            <w:pPr>
              <w:jc w:val="both"/>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景德镇学与其在景德镇国家陶瓷文化传承创新试验区建设中的作用与角色研究</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“景德镇学”在景德镇国家陶瓷文化传承创新过程中的文化传播作用研究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王誉钦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34</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景德镇陶瓷文献学术思想与理论研究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景德镇陶瓷文献学术思想与理论研究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方奕峰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35</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在防疫状态下陶瓷文化网络开放课程设置与教学及其实践研究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在防疫状态下陶瓷文化网络开放课程设置与教学及其实践研究</w:t>
            </w:r>
          </w:p>
        </w:tc>
        <w:tc>
          <w:tcPr>
            <w:tcW w:w="1335" w:type="dxa"/>
            <w:vAlign w:val="top"/>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龚雨翔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36</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在防疫状态下陶瓷文化网络开放课程技术保障体系与实践研究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在防疫状态下陶瓷文化网络开放课程技术保障体系与实践研究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聂静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37</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“陶瓷文化”微电影创作与实践</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“陶瓷文化”微电影创作与实践研究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龚雨翔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38</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景德镇“瓷茶一体”文化现象研究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景德镇“瓷茶一体”文化旅游研究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王栎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39</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构建景德镇陶瓷文化传承创新知识谱系的对策及其路径研究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构建景德镇陶瓷文化传承创新知识谱系的对策及其路径研究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赵娜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40</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陶瓷文化研学标准体系建设及其实操研究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陶瓷文化研学标准体系建设及其实操研究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魏望来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41</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江西陶瓷文化跨文化传播的话语表述与内涵构建</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江西陶瓷文化跨文化传播的话语表述与内涵构建</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吴文轲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42</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基于市域文化的江西陶瓷文化对外传播教材编写体例与定位研究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基于市域文化的江西陶瓷文化对外传播教材编写体例与定位研究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赵家铭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43</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景德镇非物质文化遗产的传承与创新研究——以景德镇大鼓为例</w:t>
            </w:r>
          </w:p>
        </w:tc>
        <w:tc>
          <w:tcPr>
            <w:tcW w:w="5310" w:type="dxa"/>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景德镇大鼓非物质文化遗产的传承与创新研究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44</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古陶瓷乐器复原的研究与探索</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景德镇古陶瓷乐器复原工作的研究与探索</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45</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弹拨陶瓷乐器的研究与开发</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景德镇弹拨陶瓷乐器的研究与开发</w:t>
            </w:r>
          </w:p>
        </w:tc>
        <w:tc>
          <w:tcPr>
            <w:tcW w:w="1335" w:type="dxa"/>
            <w:vAlign w:val="top"/>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于芳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46</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从地域方言的演变中探寻景德镇区域历代古窑址的迁移轨迹</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从地域方言的演变中探寻景德镇区域历代古窑址的迁移轨迹</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李艳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47</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景德镇陶瓷资源数据库建设</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景德镇陶瓷资源数据库建设</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张翔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48</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陶瓷文化术语国际影响力研究</w:t>
            </w:r>
          </w:p>
        </w:tc>
        <w:tc>
          <w:tcPr>
            <w:tcW w:w="5310" w:type="dxa"/>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陶瓷文化术语国际影响力研究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耿丽梅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49</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景德镇镇区明代初期“官窑”的考古学研究</w:t>
            </w:r>
          </w:p>
        </w:tc>
        <w:tc>
          <w:tcPr>
            <w:tcW w:w="5310" w:type="dxa"/>
            <w:vAlign w:val="top"/>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景德镇镇区明代初期“官窑”的考古学研究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朱姗姗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 w:type="dxa"/>
          </w:tcPr>
          <w:p>
            <w:pPr>
              <w:jc w:val="center"/>
              <w:rPr>
                <w:rFonts w:hint="default" w:ascii="楷体" w:hAnsi="楷体" w:eastAsia="楷体" w:cs="楷体"/>
                <w:i w:val="0"/>
                <w:iCs w:val="0"/>
                <w:caps w:val="0"/>
                <w:color w:val="000000"/>
                <w:spacing w:val="0"/>
                <w:sz w:val="24"/>
                <w:szCs w:val="24"/>
                <w:vertAlign w:val="baseline"/>
                <w:lang w:val="en-US" w:eastAsia="zh-CN"/>
              </w:rPr>
            </w:pPr>
            <w:r>
              <w:rPr>
                <w:rFonts w:hint="eastAsia" w:ascii="楷体" w:hAnsi="楷体" w:eastAsia="楷体" w:cs="楷体"/>
                <w:i w:val="0"/>
                <w:iCs w:val="0"/>
                <w:caps w:val="0"/>
                <w:color w:val="000000"/>
                <w:spacing w:val="0"/>
                <w:sz w:val="24"/>
                <w:szCs w:val="24"/>
                <w:vertAlign w:val="baseline"/>
                <w:lang w:val="en-US" w:eastAsia="zh-CN"/>
              </w:rPr>
              <w:t>50</w:t>
            </w:r>
          </w:p>
        </w:tc>
        <w:tc>
          <w:tcPr>
            <w:tcW w:w="1951" w:type="dxa"/>
            <w:vAlign w:val="center"/>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唐英《陶冶图说》翻译与研究</w:t>
            </w:r>
          </w:p>
        </w:tc>
        <w:tc>
          <w:tcPr>
            <w:tcW w:w="5310" w:type="dxa"/>
            <w:vAlign w:val="top"/>
          </w:tcPr>
          <w:p>
            <w:pPr>
              <w:jc w:val="center"/>
              <w:rPr>
                <w:rFonts w:hint="eastAsia"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唐英《陶冶图说》翻译与研究</w:t>
            </w:r>
          </w:p>
        </w:tc>
        <w:tc>
          <w:tcPr>
            <w:tcW w:w="1335" w:type="dxa"/>
            <w:vAlign w:val="top"/>
          </w:tcPr>
          <w:p>
            <w:pPr>
              <w:jc w:val="center"/>
              <w:rPr>
                <w:rFonts w:hint="default" w:ascii="楷体" w:hAnsi="楷体" w:eastAsia="楷体" w:cs="楷体"/>
                <w:i w:val="0"/>
                <w:iCs w:val="0"/>
                <w:caps w:val="0"/>
                <w:color w:val="000000"/>
                <w:spacing w:val="0"/>
                <w:sz w:val="21"/>
                <w:szCs w:val="21"/>
                <w:vertAlign w:val="baseline"/>
                <w:lang w:val="en-US" w:eastAsia="zh-CN"/>
              </w:rPr>
            </w:pPr>
            <w:r>
              <w:rPr>
                <w:rFonts w:hint="eastAsia" w:ascii="楷体" w:hAnsi="楷体" w:eastAsia="楷体" w:cs="楷体"/>
                <w:i w:val="0"/>
                <w:iCs w:val="0"/>
                <w:caps w:val="0"/>
                <w:color w:val="000000"/>
                <w:spacing w:val="0"/>
                <w:sz w:val="21"/>
                <w:szCs w:val="21"/>
                <w:vertAlign w:val="baseline"/>
                <w:lang w:val="en-US" w:eastAsia="zh-CN"/>
              </w:rPr>
              <w:t>夏雅君</w:t>
            </w:r>
          </w:p>
        </w:tc>
      </w:tr>
    </w:tbl>
    <w:p>
      <w:pPr>
        <w:keepNext w:val="0"/>
        <w:keepLines w:val="0"/>
        <w:pageBreakBefore w:val="0"/>
        <w:widowControl/>
        <w:kinsoku w:val="0"/>
        <w:wordWrap/>
        <w:overflowPunct/>
        <w:topLinePunct w:val="0"/>
        <w:autoSpaceDE w:val="0"/>
        <w:autoSpaceDN w:val="0"/>
        <w:bidi w:val="0"/>
        <w:adjustRightInd w:val="0"/>
        <w:snapToGrid w:val="0"/>
        <w:spacing w:line="406" w:lineRule="auto"/>
        <w:textAlignment w:val="baseline"/>
        <w:rPr>
          <w:rFonts w:ascii="Arial"/>
          <w:sz w:val="21"/>
        </w:rPr>
      </w:pPr>
    </w:p>
    <w:p>
      <w:pPr>
        <w:spacing w:line="338" w:lineRule="auto"/>
        <w:rPr>
          <w:rFonts w:ascii="Arial"/>
          <w:sz w:val="21"/>
        </w:rPr>
      </w:pPr>
    </w:p>
    <w:p>
      <w:pPr>
        <w:spacing w:line="338" w:lineRule="auto"/>
        <w:rPr>
          <w:rFonts w:ascii="Arial"/>
          <w:sz w:val="21"/>
        </w:rPr>
      </w:pPr>
    </w:p>
    <w:p>
      <w:pPr>
        <w:spacing w:line="338" w:lineRule="auto"/>
        <w:rPr>
          <w:rFonts w:ascii="Arial"/>
          <w:sz w:val="21"/>
        </w:rPr>
      </w:pPr>
    </w:p>
    <w:p>
      <w:pPr>
        <w:spacing w:line="338" w:lineRule="auto"/>
        <w:rPr>
          <w:rFonts w:ascii="Arial"/>
          <w:sz w:val="21"/>
        </w:rPr>
      </w:pPr>
    </w:p>
    <w:p>
      <w:pPr>
        <w:spacing w:line="338" w:lineRule="auto"/>
        <w:rPr>
          <w:rFonts w:ascii="Arial"/>
          <w:sz w:val="21"/>
        </w:rPr>
      </w:pPr>
    </w:p>
    <w:p>
      <w:pPr>
        <w:spacing w:line="338" w:lineRule="auto"/>
        <w:rPr>
          <w:rFonts w:ascii="Arial"/>
          <w:sz w:val="21"/>
        </w:rPr>
      </w:pPr>
    </w:p>
    <w:p>
      <w:pPr>
        <w:spacing w:line="338" w:lineRule="auto"/>
        <w:rPr>
          <w:rFonts w:ascii="Arial"/>
          <w:sz w:val="21"/>
        </w:rPr>
      </w:pPr>
    </w:p>
    <w:p>
      <w:pPr>
        <w:jc w:val="both"/>
        <w:rPr>
          <w:rFonts w:hint="default" w:ascii="微软雅黑" w:hAnsi="微软雅黑" w:eastAsia="微软雅黑" w:cs="微软雅黑"/>
          <w:i w:val="0"/>
          <w:iCs w:val="0"/>
          <w:caps w:val="0"/>
          <w:color w:val="000000"/>
          <w:spacing w:val="0"/>
          <w:sz w:val="44"/>
          <w:szCs w:val="4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5</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A7968"/>
    <w:rsid w:val="01565C22"/>
    <w:rsid w:val="03435D32"/>
    <w:rsid w:val="036F4D79"/>
    <w:rsid w:val="03DC3C9C"/>
    <w:rsid w:val="062A0DFB"/>
    <w:rsid w:val="07A1396F"/>
    <w:rsid w:val="0CB91489"/>
    <w:rsid w:val="0DA16476"/>
    <w:rsid w:val="0FA634F7"/>
    <w:rsid w:val="0FB51D65"/>
    <w:rsid w:val="12415B32"/>
    <w:rsid w:val="12555A81"/>
    <w:rsid w:val="14BE18C0"/>
    <w:rsid w:val="17B86896"/>
    <w:rsid w:val="17C23271"/>
    <w:rsid w:val="1A434C86"/>
    <w:rsid w:val="1AC87064"/>
    <w:rsid w:val="1CDE70B5"/>
    <w:rsid w:val="1CEB6DC6"/>
    <w:rsid w:val="1F9951FF"/>
    <w:rsid w:val="1FE16BA6"/>
    <w:rsid w:val="20CC6F0F"/>
    <w:rsid w:val="21F901D7"/>
    <w:rsid w:val="222F441A"/>
    <w:rsid w:val="23081E44"/>
    <w:rsid w:val="241D68A3"/>
    <w:rsid w:val="24CD76F9"/>
    <w:rsid w:val="275D6B12"/>
    <w:rsid w:val="279E57C7"/>
    <w:rsid w:val="28357A8F"/>
    <w:rsid w:val="2837418E"/>
    <w:rsid w:val="28A40771"/>
    <w:rsid w:val="29D25D9E"/>
    <w:rsid w:val="29DD3775"/>
    <w:rsid w:val="2CA451E4"/>
    <w:rsid w:val="2EF603C4"/>
    <w:rsid w:val="2FFE2E5D"/>
    <w:rsid w:val="31556940"/>
    <w:rsid w:val="32284BB1"/>
    <w:rsid w:val="32E9526F"/>
    <w:rsid w:val="331035D3"/>
    <w:rsid w:val="34B66A13"/>
    <w:rsid w:val="357065AB"/>
    <w:rsid w:val="37126BC7"/>
    <w:rsid w:val="37764AD8"/>
    <w:rsid w:val="39047736"/>
    <w:rsid w:val="39627FB8"/>
    <w:rsid w:val="3D6C3346"/>
    <w:rsid w:val="3DFD46C6"/>
    <w:rsid w:val="3E3208A1"/>
    <w:rsid w:val="3E8804C1"/>
    <w:rsid w:val="3F882ABD"/>
    <w:rsid w:val="3FE94F8F"/>
    <w:rsid w:val="402E4AAA"/>
    <w:rsid w:val="40C30CDD"/>
    <w:rsid w:val="43151A24"/>
    <w:rsid w:val="433B01F8"/>
    <w:rsid w:val="447C0AC8"/>
    <w:rsid w:val="462A00B0"/>
    <w:rsid w:val="4690085B"/>
    <w:rsid w:val="46CE1383"/>
    <w:rsid w:val="46D52711"/>
    <w:rsid w:val="4712301E"/>
    <w:rsid w:val="47FB06CC"/>
    <w:rsid w:val="486D3914"/>
    <w:rsid w:val="4C5B0FC3"/>
    <w:rsid w:val="4E4168DE"/>
    <w:rsid w:val="4ED80FF1"/>
    <w:rsid w:val="5133250E"/>
    <w:rsid w:val="54232D0E"/>
    <w:rsid w:val="56C67981"/>
    <w:rsid w:val="57211C70"/>
    <w:rsid w:val="577E200A"/>
    <w:rsid w:val="5A0A04CC"/>
    <w:rsid w:val="5A58729A"/>
    <w:rsid w:val="5ABC17C7"/>
    <w:rsid w:val="5B1E5B7B"/>
    <w:rsid w:val="5BA04C44"/>
    <w:rsid w:val="5E9345EC"/>
    <w:rsid w:val="5EB47B21"/>
    <w:rsid w:val="5F2B6F1B"/>
    <w:rsid w:val="5FB92779"/>
    <w:rsid w:val="60FF065F"/>
    <w:rsid w:val="622639C9"/>
    <w:rsid w:val="624712C3"/>
    <w:rsid w:val="63275971"/>
    <w:rsid w:val="63657073"/>
    <w:rsid w:val="661701F9"/>
    <w:rsid w:val="68E04826"/>
    <w:rsid w:val="6B5D0EB8"/>
    <w:rsid w:val="6BB838E4"/>
    <w:rsid w:val="6C184383"/>
    <w:rsid w:val="6C32241D"/>
    <w:rsid w:val="6D0D1A0E"/>
    <w:rsid w:val="6DE85FD7"/>
    <w:rsid w:val="6F344B66"/>
    <w:rsid w:val="73A01DBD"/>
    <w:rsid w:val="743E1C55"/>
    <w:rsid w:val="75046018"/>
    <w:rsid w:val="756C45DC"/>
    <w:rsid w:val="765863F0"/>
    <w:rsid w:val="769E2514"/>
    <w:rsid w:val="78AD22F7"/>
    <w:rsid w:val="79314CD6"/>
    <w:rsid w:val="7CE704CD"/>
    <w:rsid w:val="7DF450D6"/>
    <w:rsid w:val="7E374B3D"/>
    <w:rsid w:val="7E696CC0"/>
    <w:rsid w:val="7F007624"/>
    <w:rsid w:val="7F485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2021-12-30T07:07:00Z</dcterms:created>
  <dc:creator>lenovo</dc:creator>
  <cp:lastModifiedBy>江西的好朋友</cp:lastModifiedBy>
  <cp:lastPrinted>2022-01-04T01:17:00Z</cp:lastPrinted>
  <dcterms:modified xsi:type="dcterms:W3CDTF">2022-01-26T13:56:12Z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D2B819F62B1040569B67221B26667338</vt:lpwstr>
  </property>
</Properties>
</file>