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rPr>
          <w:rFonts w:ascii="微软雅黑" w:hAnsi="微软雅黑" w:eastAsia="微软雅黑"/>
          <w:color w:val="333333"/>
          <w:spacing w:val="6"/>
          <w:sz w:val="32"/>
          <w:szCs w:val="32"/>
        </w:rPr>
      </w:pPr>
      <w:r>
        <w:rPr>
          <w:rStyle w:val="9"/>
          <w:rFonts w:hint="eastAsia" w:ascii="微软雅黑" w:hAnsi="微软雅黑" w:eastAsia="微软雅黑"/>
          <w:color w:val="333333"/>
          <w:spacing w:val="6"/>
          <w:sz w:val="32"/>
          <w:szCs w:val="32"/>
        </w:rPr>
        <w:t>江西省财政厅关于开展政府采购意向公开工作的通知</w:t>
      </w:r>
    </w:p>
    <w:p>
      <w:pPr>
        <w:shd w:val="clear" w:color="auto" w:fill="FFFFFF"/>
        <w:rPr>
          <w:rFonts w:ascii="微软雅黑" w:hAnsi="微软雅黑" w:eastAsia="微软雅黑"/>
          <w:color w:val="333333"/>
          <w:spacing w:val="6"/>
          <w:sz w:val="20"/>
          <w:szCs w:val="20"/>
        </w:rPr>
      </w:pPr>
      <w:r>
        <w:rPr>
          <w:rFonts w:ascii="微软雅黑" w:hAnsi="微软雅黑" w:eastAsia="微软雅黑"/>
          <w:color w:val="333333"/>
          <w:spacing w:val="6"/>
          <w:sz w:val="20"/>
          <w:szCs w:val="20"/>
        </w:rPr>
        <w:pict>
          <v:rect id="_x0000_i1025" o:spt="1" style="height:1.5pt;width:0pt;" fillcolor="#3E3E3E" filled="t" stroked="f" coordsize="21600,21600" o:hr="t" o:hrstd="t" o:hrnoshade="t" o:hralign="right">
            <v:path/>
            <v:fill on="t" focussize="0,0"/>
            <v:stroke on="f"/>
            <v:imagedata o:title=""/>
            <o:lock v:ext="edit"/>
            <w10:wrap type="none"/>
            <w10:anchorlock/>
          </v:rect>
        </w:pict>
      </w:r>
    </w:p>
    <w:p>
      <w:pPr>
        <w:pStyle w:val="6"/>
        <w:shd w:val="clear" w:color="auto" w:fill="FFFFFF"/>
        <w:spacing w:before="0" w:beforeAutospacing="0" w:after="0" w:afterAutospacing="0" w:line="480" w:lineRule="exact"/>
        <w:rPr>
          <w:rFonts w:ascii="微软雅黑" w:hAnsi="微软雅黑" w:eastAsia="微软雅黑"/>
          <w:color w:val="3E3E3E"/>
          <w:spacing w:val="6"/>
        </w:rPr>
      </w:pPr>
      <w:r>
        <w:rPr>
          <w:rFonts w:hint="eastAsia" w:ascii="仿宋_GB2312" w:hAnsi="微软雅黑" w:eastAsia="仿宋_GB2312"/>
          <w:color w:val="3E3E3E"/>
          <w:spacing w:val="6"/>
        </w:rPr>
        <w:t>省直各单位，各设区市、县（市、区）财政局，赣江新区财政金融局：</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仿宋_GB2312" w:hAnsi="微软雅黑" w:eastAsia="仿宋_GB2312"/>
          <w:color w:val="333333"/>
          <w:spacing w:val="6"/>
        </w:rPr>
        <w:t>为深入推进政府采购制度改革，优化政府采购营商环境，提升政府采购透明度，根据《财政部关于开展政府采购意向公开工作的通知》（财库〔2020〕10号）有关要求，现就我省政府采购意向公开有关工作通知如下：</w:t>
      </w:r>
    </w:p>
    <w:p>
      <w:pPr>
        <w:shd w:val="clear" w:color="auto" w:fill="FFFFFF"/>
        <w:spacing w:line="480" w:lineRule="exact"/>
        <w:rPr>
          <w:rFonts w:ascii="微软雅黑" w:hAnsi="微软雅黑" w:eastAsia="微软雅黑"/>
          <w:color w:val="333333"/>
          <w:spacing w:val="6"/>
          <w:sz w:val="24"/>
        </w:rPr>
      </w:pPr>
      <w:r>
        <w:rPr>
          <w:rStyle w:val="9"/>
          <w:rFonts w:hint="eastAsia" w:ascii="黑体" w:hAnsi="黑体" w:eastAsia="黑体"/>
          <w:color w:val="333333"/>
          <w:spacing w:val="6"/>
          <w:sz w:val="24"/>
        </w:rPr>
        <w:t>一、实施步骤</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楷体_GB2312" w:hAnsi="微软雅黑" w:eastAsia="楷体_GB2312"/>
          <w:b/>
          <w:bCs/>
          <w:color w:val="333333"/>
          <w:spacing w:val="6"/>
        </w:rPr>
        <w:t>（一）开展试点。</w:t>
      </w:r>
      <w:r>
        <w:rPr>
          <w:rFonts w:hint="eastAsia" w:ascii="仿宋_GB2312" w:hAnsi="微软雅黑" w:eastAsia="仿宋_GB2312"/>
          <w:color w:val="333333"/>
          <w:spacing w:val="6"/>
        </w:rPr>
        <w:t>选择省科学院、江西农业大学、省高级人民法院、省儿童医院等4家省本级预算单位开展试点，自2020年10月1日起上述单位实施的政府采购项目按规定公开采购意向。</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楷体_GB2312" w:hAnsi="微软雅黑" w:eastAsia="楷体_GB2312"/>
          <w:b/>
          <w:bCs/>
          <w:color w:val="333333"/>
          <w:spacing w:val="6"/>
        </w:rPr>
        <w:t>（二）全面实施。</w:t>
      </w:r>
      <w:r>
        <w:rPr>
          <w:rFonts w:hint="eastAsia" w:ascii="仿宋_GB2312" w:hAnsi="微软雅黑" w:eastAsia="仿宋_GB2312"/>
          <w:color w:val="333333"/>
          <w:spacing w:val="6"/>
        </w:rPr>
        <w:t>省级预算单位自2021年1月1日起实施的采购项目，设区市、县（市、区）级预算单位自2022年1月1日起实施的采购项目，应当按本规定公开采购意向。各设区市、县（市、区）可根据本地实际确定采购意向公开时间，具备条件的可适当提前开展采购意向公开工作。</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Style w:val="9"/>
          <w:rFonts w:hint="eastAsia" w:ascii="黑体" w:hAnsi="黑体" w:eastAsia="黑体"/>
          <w:color w:val="333333"/>
          <w:spacing w:val="6"/>
        </w:rPr>
        <w:t>二、采购意向公开内容</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楷体_GB2312" w:hAnsi="微软雅黑" w:eastAsia="楷体_GB2312"/>
          <w:b/>
          <w:bCs/>
          <w:color w:val="333333"/>
          <w:spacing w:val="6"/>
        </w:rPr>
        <w:t>（一）公开主体和渠道。</w:t>
      </w:r>
      <w:r>
        <w:rPr>
          <w:rFonts w:hint="eastAsia" w:ascii="仿宋_GB2312" w:hAnsi="微软雅黑" w:eastAsia="仿宋_GB2312"/>
          <w:color w:val="333333"/>
          <w:spacing w:val="6"/>
        </w:rPr>
        <w:t>采购意向由预算单位负责公开。“江西省政府采购网（www.ccgp-jiangxi.gov.cn）”是我省政府采购意向公开的主渠道，省财政厅在江西省政府采购网设置“采购意向”专栏。</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仿宋_GB2312" w:hAnsi="微软雅黑" w:eastAsia="仿宋_GB2312"/>
          <w:color w:val="333333"/>
          <w:spacing w:val="6"/>
        </w:rPr>
        <w:t>预算单位按采购项目发布意向公开内容，具体操作步骤如下：</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仿宋_GB2312" w:hAnsi="微软雅黑" w:eastAsia="仿宋_GB2312"/>
          <w:color w:val="333333"/>
          <w:spacing w:val="6"/>
        </w:rPr>
        <w:t>1.预算单位通过“江西省政府采购网”编制政府采购实施计划时，按照《政府采购意向公开参考文本》格式同步录入采购意向公开内容。</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仿宋_GB2312" w:hAnsi="微软雅黑" w:eastAsia="仿宋_GB2312"/>
          <w:color w:val="333333"/>
          <w:spacing w:val="6"/>
        </w:rPr>
        <w:t>2.主管预算单位完成采购计划审核备案后，由系统自动推送至江西省政府采购网“采购意向”专栏公开发布。</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仿宋_GB2312" w:hAnsi="微软雅黑" w:eastAsia="仿宋_GB2312"/>
          <w:color w:val="333333"/>
          <w:spacing w:val="6"/>
        </w:rPr>
        <w:t>3.采购意向公开后，预算单位即可实施采购活动。</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仿宋_GB2312" w:hAnsi="微软雅黑" w:eastAsia="仿宋_GB2312"/>
          <w:color w:val="333333"/>
          <w:spacing w:val="6"/>
        </w:rPr>
        <w:t>主管预算单位负责审核本部门、本系统所属预算单位的采购意向后公开，有条件的主管预算单位可在其部门门户网站同步公开本部门、本系统的采购意向。</w:t>
      </w:r>
    </w:p>
    <w:p>
      <w:pPr>
        <w:shd w:val="clear" w:color="auto" w:fill="FFFFFF"/>
        <w:spacing w:line="480" w:lineRule="exact"/>
        <w:ind w:firstLine="506" w:firstLineChars="200"/>
        <w:rPr>
          <w:rFonts w:ascii="仿宋_GB2312" w:hAnsi="微软雅黑" w:eastAsia="仿宋_GB2312"/>
          <w:color w:val="333333"/>
          <w:spacing w:val="6"/>
          <w:sz w:val="24"/>
        </w:rPr>
      </w:pPr>
      <w:r>
        <w:rPr>
          <w:rFonts w:hint="eastAsia" w:ascii="楷体_GB2312" w:hAnsi="微软雅黑" w:eastAsia="楷体_GB2312"/>
          <w:b/>
          <w:bCs/>
          <w:color w:val="333333"/>
          <w:spacing w:val="6"/>
          <w:sz w:val="24"/>
        </w:rPr>
        <w:t>（二）公开范围。</w:t>
      </w:r>
      <w:r>
        <w:rPr>
          <w:rFonts w:hint="eastAsia" w:ascii="仿宋_GB2312" w:hAnsi="微软雅黑" w:eastAsia="仿宋_GB2312"/>
          <w:color w:val="333333"/>
          <w:spacing w:val="6"/>
          <w:sz w:val="24"/>
        </w:rPr>
        <w:t>除以协议供货、定点采购、网上商城（电子卖场）等方式实施的小额零星采购项目和由集中采购机构统一组织的批量集中采购外，通过公开招标、邀请招标、竞争性谈判、竞争性磋商、询价、单一来源采购方式，按项目实施采购的集中采购目录以内或者采购限额标准以上的货物、工程、服务采购（不含涉密项目）均应当公开采购意向。</w:t>
      </w:r>
    </w:p>
    <w:p>
      <w:pPr>
        <w:shd w:val="clear" w:color="auto" w:fill="FFFFFF"/>
        <w:spacing w:line="480" w:lineRule="exact"/>
        <w:ind w:firstLine="506" w:firstLineChars="200"/>
        <w:rPr>
          <w:rFonts w:ascii="仿宋_GB2312" w:hAnsi="微软雅黑" w:eastAsia="仿宋_GB2312"/>
          <w:color w:val="333333"/>
          <w:spacing w:val="6"/>
          <w:sz w:val="24"/>
        </w:rPr>
      </w:pPr>
      <w:r>
        <w:rPr>
          <w:rFonts w:hint="eastAsia" w:ascii="楷体_GB2312" w:hAnsi="微软雅黑" w:eastAsia="楷体_GB2312"/>
          <w:b/>
          <w:bCs/>
          <w:color w:val="333333"/>
          <w:spacing w:val="6"/>
          <w:sz w:val="24"/>
        </w:rPr>
        <w:t>（三）公开内容。</w:t>
      </w:r>
      <w:r>
        <w:rPr>
          <w:rFonts w:hint="eastAsia" w:ascii="仿宋_GB2312" w:hAnsi="微软雅黑" w:eastAsia="仿宋_GB2312"/>
          <w:color w:val="333333"/>
          <w:spacing w:val="6"/>
          <w:sz w:val="24"/>
        </w:rPr>
        <w:t>采购意向公开应当包括采购项目名称、采购需求概况、预算金额、预计采购时间等（具体格式详见附件）。其中，采购需求概况应当包括采购标的名称，采购标的需实现的主要功能或者目标，采购标的数量，以及采购标的需满足的质量、服务、安全、时限等要求。采购意向应当尽可能清晰完整，便于供应商提前做好参与采购活动的准备。采购意向仅作为供应商了解各单位初步采购安排的参考，采购项目实际采购需求、预算金额和执行时间以预算单位最终发布的采购公告和采购文件为准。</w:t>
      </w:r>
    </w:p>
    <w:p>
      <w:pPr>
        <w:shd w:val="clear" w:color="auto" w:fill="FFFFFF"/>
        <w:spacing w:line="480" w:lineRule="exact"/>
        <w:ind w:firstLine="506" w:firstLineChars="200"/>
        <w:rPr>
          <w:rFonts w:ascii="仿宋_GB2312" w:hAnsi="微软雅黑" w:eastAsia="仿宋_GB2312"/>
          <w:color w:val="333333"/>
          <w:spacing w:val="6"/>
          <w:sz w:val="24"/>
        </w:rPr>
      </w:pPr>
      <w:r>
        <w:rPr>
          <w:rFonts w:hint="eastAsia" w:ascii="楷体_GB2312" w:hAnsi="微软雅黑" w:eastAsia="楷体_GB2312"/>
          <w:b/>
          <w:bCs/>
          <w:color w:val="333333"/>
          <w:spacing w:val="6"/>
          <w:sz w:val="24"/>
        </w:rPr>
        <w:t>（四）公开依据。</w:t>
      </w:r>
      <w:r>
        <w:rPr>
          <w:rFonts w:hint="eastAsia" w:ascii="仿宋_GB2312" w:hAnsi="微软雅黑" w:eastAsia="仿宋_GB2312"/>
          <w:color w:val="333333"/>
          <w:spacing w:val="6"/>
          <w:sz w:val="24"/>
        </w:rPr>
        <w:t>部门预算批复前公开的采购意向，以部门预算“二上”内容为依据；部门预算批复后公开的采购意向，以部门预算安排为依据。预算执行中新增采购项目应当以实际下达的预算为依据。</w:t>
      </w:r>
    </w:p>
    <w:p>
      <w:pPr>
        <w:shd w:val="clear" w:color="auto" w:fill="FFFFFF"/>
        <w:spacing w:line="480" w:lineRule="exact"/>
        <w:ind w:firstLine="506" w:firstLineChars="200"/>
        <w:rPr>
          <w:rStyle w:val="9"/>
          <w:rFonts w:ascii="黑体" w:hAnsi="黑体" w:eastAsia="黑体"/>
          <w:color w:val="333333"/>
          <w:spacing w:val="6"/>
          <w:sz w:val="24"/>
        </w:rPr>
      </w:pPr>
      <w:r>
        <w:rPr>
          <w:rFonts w:hint="eastAsia" w:ascii="楷体_GB2312" w:hAnsi="微软雅黑" w:eastAsia="楷体_GB2312"/>
          <w:b/>
          <w:bCs/>
          <w:color w:val="333333"/>
          <w:spacing w:val="6"/>
          <w:sz w:val="24"/>
        </w:rPr>
        <w:t>（五）公开时间。</w:t>
      </w:r>
      <w:r>
        <w:rPr>
          <w:rFonts w:hint="eastAsia" w:ascii="仿宋_GB2312" w:hAnsi="微软雅黑" w:eastAsia="仿宋_GB2312"/>
          <w:color w:val="333333"/>
          <w:spacing w:val="6"/>
          <w:sz w:val="24"/>
        </w:rPr>
        <w:t>采购意向公开时间应当尽量提前，原则上不得晚于采购活动开始前30日公开采购意向。因预算单位不可以预见的原因急需开展的采购项目，可不公开采购意向。</w:t>
      </w:r>
      <w:r>
        <w:rPr>
          <w:rFonts w:hint="eastAsia" w:ascii="仿宋_GB2312" w:hAnsi="微软雅黑" w:eastAsia="仿宋_GB2312"/>
          <w:color w:val="333333"/>
          <w:spacing w:val="6"/>
          <w:sz w:val="24"/>
        </w:rPr>
        <w:br w:type="textWrapping"/>
      </w:r>
      <w:r>
        <w:rPr>
          <w:rStyle w:val="9"/>
          <w:rFonts w:hint="eastAsia" w:ascii="黑体" w:hAnsi="黑体" w:eastAsia="黑体"/>
          <w:color w:val="333333"/>
          <w:spacing w:val="6"/>
          <w:sz w:val="24"/>
        </w:rPr>
        <w:t xml:space="preserve">    三、工作要求</w:t>
      </w:r>
    </w:p>
    <w:p>
      <w:pPr>
        <w:shd w:val="clear" w:color="auto" w:fill="FFFFFF"/>
        <w:spacing w:line="480" w:lineRule="exact"/>
        <w:ind w:firstLine="506" w:firstLineChars="200"/>
        <w:rPr>
          <w:rFonts w:ascii="微软雅黑" w:hAnsi="微软雅黑" w:eastAsia="微软雅黑"/>
          <w:color w:val="333333"/>
          <w:spacing w:val="6"/>
          <w:sz w:val="24"/>
        </w:rPr>
      </w:pPr>
      <w:r>
        <w:rPr>
          <w:rFonts w:hint="eastAsia" w:ascii="楷体_GB2312" w:hAnsi="微软雅黑" w:eastAsia="楷体_GB2312"/>
          <w:b/>
          <w:bCs/>
          <w:color w:val="333333"/>
          <w:spacing w:val="6"/>
          <w:sz w:val="24"/>
        </w:rPr>
        <w:t>（一）提高思想认识。</w:t>
      </w:r>
      <w:r>
        <w:rPr>
          <w:rFonts w:hint="eastAsia" w:ascii="仿宋_GB2312" w:hAnsi="微软雅黑" w:eastAsia="仿宋_GB2312"/>
          <w:color w:val="333333"/>
          <w:spacing w:val="6"/>
          <w:sz w:val="24"/>
        </w:rPr>
        <w:t>推进采购意向公开是优化政府采购营商环境的重要举措。做好采购意向公开工作有助于提高政府采购透明度，方便供应商提前了解政府采购信息，对于保障各类市场主体平等参与政府采购活动，提升采购绩效，防范抑制腐败具有重要作用。各级财政部门、预算单位要充分认识此项工作的重要意义，高度重视、精心组织，认真做好采购意向公开工作。</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楷体_GB2312" w:hAnsi="微软雅黑" w:eastAsia="楷体_GB2312"/>
          <w:b/>
          <w:bCs/>
          <w:color w:val="333333"/>
          <w:spacing w:val="6"/>
        </w:rPr>
        <w:t>（二）明确责任主体。</w:t>
      </w:r>
      <w:r>
        <w:rPr>
          <w:rFonts w:hint="eastAsia" w:ascii="仿宋_GB2312" w:hAnsi="微软雅黑" w:eastAsia="仿宋_GB2312"/>
          <w:color w:val="333333"/>
          <w:spacing w:val="6"/>
        </w:rPr>
        <w:t>预算单位是采购意向公开的责任主体。各级预算单位要加强采购活动的计划性，按照本通知要求及时、全面公开采购意向。各级主管预算单位要做好统筹协调工作，及时安排部署，加强对本部门所属预算单位的督促和指导，确保所属预算单位严格按规定时间和内容公开采购意向，确保采购意向公开不遗漏、不延误。</w:t>
      </w:r>
    </w:p>
    <w:p>
      <w:pPr>
        <w:pStyle w:val="6"/>
        <w:shd w:val="clear" w:color="auto" w:fill="FFFFFF"/>
        <w:spacing w:before="0" w:beforeAutospacing="0" w:after="0" w:afterAutospacing="0" w:line="480" w:lineRule="exact"/>
        <w:ind w:firstLine="495"/>
        <w:jc w:val="both"/>
        <w:rPr>
          <w:rFonts w:ascii="微软雅黑" w:hAnsi="微软雅黑" w:eastAsia="微软雅黑"/>
          <w:color w:val="333333"/>
          <w:spacing w:val="6"/>
        </w:rPr>
      </w:pPr>
      <w:r>
        <w:rPr>
          <w:rFonts w:hint="eastAsia" w:ascii="楷体_GB2312" w:hAnsi="微软雅黑" w:eastAsia="楷体_GB2312"/>
          <w:b/>
          <w:bCs/>
          <w:color w:val="333333"/>
          <w:spacing w:val="6"/>
        </w:rPr>
        <w:t>（三）加强监督指导。</w:t>
      </w:r>
      <w:r>
        <w:rPr>
          <w:rFonts w:hint="eastAsia" w:ascii="仿宋_GB2312" w:hAnsi="微软雅黑" w:eastAsia="仿宋_GB2312"/>
          <w:color w:val="333333"/>
          <w:spacing w:val="6"/>
        </w:rPr>
        <w:t>各设区市、县（市、区）财政部门要对本地区采购意向公开工作进行安排部署，着重加强预算单位政府采购意向公开工作的指导，确保本地区预算单位按要求完成采购意向公开工作。各级财政部门、预算单位要认真总结采购意向公开工作中好的做法和经验，对推进的过程中遇到的新情况、新问题，要研究完善有关举措，并及时向省财政厅反映。</w:t>
      </w:r>
    </w:p>
    <w:p>
      <w:pPr>
        <w:pStyle w:val="6"/>
        <w:shd w:val="clear" w:color="auto" w:fill="FFFFFF"/>
        <w:spacing w:before="0" w:beforeAutospacing="0" w:after="0" w:afterAutospacing="0" w:line="480" w:lineRule="exact"/>
        <w:jc w:val="both"/>
        <w:rPr>
          <w:rFonts w:ascii="微软雅黑" w:hAnsi="微软雅黑" w:eastAsia="微软雅黑"/>
          <w:color w:val="333333"/>
          <w:spacing w:val="6"/>
        </w:rPr>
      </w:pPr>
      <w:r>
        <w:rPr>
          <w:rFonts w:hint="eastAsia" w:ascii="仿宋_GB2312" w:hAnsi="微软雅黑" w:eastAsia="仿宋_GB2312"/>
          <w:color w:val="333333"/>
          <w:spacing w:val="6"/>
        </w:rPr>
        <w:t>　　附件：政府采购意向公开参考文本</w:t>
      </w:r>
    </w:p>
    <w:p>
      <w:pPr>
        <w:pStyle w:val="6"/>
        <w:shd w:val="clear" w:color="auto" w:fill="FFFFFF"/>
        <w:spacing w:before="0" w:beforeAutospacing="0" w:after="0" w:afterAutospacing="0" w:line="480" w:lineRule="exact"/>
        <w:jc w:val="both"/>
        <w:rPr>
          <w:rFonts w:ascii="微软雅黑" w:hAnsi="微软雅黑" w:eastAsia="微软雅黑"/>
          <w:color w:val="333333"/>
          <w:spacing w:val="6"/>
        </w:rPr>
      </w:pPr>
    </w:p>
    <w:p>
      <w:pPr>
        <w:shd w:val="clear" w:color="auto" w:fill="FFFFFF"/>
        <w:spacing w:line="480" w:lineRule="exact"/>
        <w:rPr>
          <w:rFonts w:hint="eastAsia" w:ascii="仿宋_GB2312" w:hAnsi="微软雅黑" w:eastAsia="仿宋_GB2312"/>
          <w:color w:val="333333"/>
          <w:spacing w:val="6"/>
          <w:sz w:val="24"/>
        </w:rPr>
      </w:pPr>
      <w:r>
        <w:rPr>
          <w:rFonts w:hint="eastAsia" w:ascii="仿宋_GB2312" w:hAnsi="微软雅黑" w:eastAsia="仿宋_GB2312"/>
          <w:color w:val="333333"/>
          <w:spacing w:val="6"/>
          <w:sz w:val="24"/>
        </w:rPr>
        <w:t>                                             江西省财政厅</w:t>
      </w:r>
    </w:p>
    <w:p>
      <w:pPr>
        <w:shd w:val="clear" w:color="auto" w:fill="FFFFFF"/>
        <w:spacing w:line="480" w:lineRule="exact"/>
        <w:ind w:firstLine="5418" w:firstLineChars="2150"/>
        <w:rPr>
          <w:rFonts w:ascii="微软雅黑" w:hAnsi="微软雅黑" w:eastAsia="微软雅黑"/>
          <w:color w:val="333333"/>
          <w:spacing w:val="6"/>
          <w:sz w:val="24"/>
        </w:rPr>
      </w:pPr>
      <w:r>
        <w:rPr>
          <w:rFonts w:hint="eastAsia" w:ascii="仿宋_GB2312" w:hAnsi="微软雅黑" w:eastAsia="仿宋_GB2312"/>
          <w:color w:val="333333"/>
          <w:spacing w:val="6"/>
          <w:sz w:val="24"/>
        </w:rPr>
        <w:t>2020年7月17日</w:t>
      </w:r>
      <w:r>
        <w:rPr>
          <w:rFonts w:hint="eastAsia" w:ascii="微软雅黑" w:hAnsi="微软雅黑" w:eastAsia="微软雅黑"/>
          <w:color w:val="333333"/>
          <w:spacing w:val="6"/>
          <w:sz w:val="24"/>
        </w:rPr>
        <w:br w:type="textWrapping"/>
      </w: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ascii="微软雅黑" w:hAnsi="微软雅黑" w:eastAsia="微软雅黑"/>
          <w:color w:val="333333"/>
          <w:spacing w:val="6"/>
          <w:sz w:val="24"/>
        </w:rPr>
      </w:pPr>
    </w:p>
    <w:p>
      <w:pPr>
        <w:shd w:val="clear" w:color="auto" w:fill="FFFFFF"/>
        <w:spacing w:line="480" w:lineRule="exact"/>
        <w:rPr>
          <w:rFonts w:hint="eastAsia" w:ascii="微软雅黑" w:hAnsi="微软雅黑" w:eastAsia="微软雅黑"/>
          <w:color w:val="333333"/>
          <w:spacing w:val="6"/>
          <w:sz w:val="24"/>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olor w:val="333333"/>
          <w:spacing w:val="6"/>
          <w:sz w:val="24"/>
        </w:rPr>
        <w:br w:type="textWrapping"/>
      </w:r>
    </w:p>
    <w:p>
      <w:pPr>
        <w:shd w:val="clear" w:color="auto" w:fill="FFFFFF"/>
        <w:spacing w:line="480" w:lineRule="exact"/>
        <w:rPr>
          <w:rFonts w:ascii="微软雅黑" w:hAnsi="微软雅黑" w:eastAsia="微软雅黑"/>
          <w:color w:val="333333"/>
          <w:spacing w:val="6"/>
          <w:sz w:val="24"/>
        </w:rPr>
      </w:pPr>
      <w:r>
        <w:rPr>
          <w:rStyle w:val="9"/>
          <w:rFonts w:hint="eastAsia" w:ascii="微软雅黑" w:hAnsi="微软雅黑" w:eastAsia="微软雅黑"/>
          <w:color w:val="333333"/>
          <w:spacing w:val="6"/>
          <w:sz w:val="24"/>
        </w:rPr>
        <w:t>附件：政府采购意向公开参考文本</w:t>
      </w:r>
      <w:r>
        <w:rPr>
          <w:rFonts w:hint="eastAsia" w:ascii="微软雅黑" w:hAnsi="微软雅黑" w:eastAsia="微软雅黑"/>
          <w:color w:val="333333"/>
          <w:spacing w:val="6"/>
          <w:sz w:val="24"/>
        </w:rPr>
        <w:br w:type="textWrapping"/>
      </w:r>
    </w:p>
    <w:p>
      <w:pPr>
        <w:pStyle w:val="6"/>
        <w:shd w:val="clear" w:color="auto" w:fill="FFFFFF"/>
        <w:spacing w:before="0" w:beforeAutospacing="0" w:after="0" w:afterAutospacing="0" w:line="461" w:lineRule="atLeast"/>
        <w:jc w:val="center"/>
        <w:rPr>
          <w:rFonts w:ascii="微软雅黑" w:hAnsi="微软雅黑" w:eastAsia="微软雅黑"/>
          <w:color w:val="333333"/>
          <w:spacing w:val="6"/>
        </w:rPr>
      </w:pPr>
      <w:r>
        <w:rPr>
          <w:rFonts w:hint="eastAsia" w:ascii="微软雅黑" w:hAnsi="微软雅黑" w:eastAsia="微软雅黑"/>
          <w:color w:val="333333"/>
          <w:spacing w:val="6"/>
        </w:rPr>
        <w:t>（单位名称） ____年____（至）____月</w:t>
      </w:r>
    </w:p>
    <w:p>
      <w:pPr>
        <w:pStyle w:val="6"/>
        <w:shd w:val="clear" w:color="auto" w:fill="FFFFFF"/>
        <w:spacing w:before="0" w:beforeAutospacing="0" w:after="0" w:afterAutospacing="0" w:line="461" w:lineRule="atLeast"/>
        <w:jc w:val="center"/>
        <w:rPr>
          <w:rFonts w:ascii="微软雅黑" w:hAnsi="微软雅黑" w:eastAsia="微软雅黑"/>
          <w:color w:val="333333"/>
          <w:spacing w:val="6"/>
        </w:rPr>
      </w:pPr>
      <w:r>
        <w:rPr>
          <w:rFonts w:hint="eastAsia" w:ascii="微软雅黑" w:hAnsi="微软雅黑" w:eastAsia="微软雅黑"/>
          <w:color w:val="333333"/>
          <w:spacing w:val="6"/>
        </w:rPr>
        <w:t>政府采购意向</w:t>
      </w:r>
    </w:p>
    <w:p>
      <w:pPr>
        <w:pStyle w:val="6"/>
        <w:shd w:val="clear" w:color="auto" w:fill="FFFFFF"/>
        <w:spacing w:before="0" w:beforeAutospacing="0" w:after="0" w:afterAutospacing="0" w:line="461" w:lineRule="atLeast"/>
        <w:ind w:firstLine="495"/>
        <w:rPr>
          <w:rFonts w:ascii="微软雅黑" w:hAnsi="微软雅黑" w:eastAsia="微软雅黑"/>
          <w:color w:val="333333"/>
          <w:spacing w:val="6"/>
        </w:rPr>
      </w:pPr>
    </w:p>
    <w:p>
      <w:pPr>
        <w:pStyle w:val="6"/>
        <w:shd w:val="clear" w:color="auto" w:fill="FFFFFF"/>
        <w:spacing w:before="0" w:beforeAutospacing="0" w:after="0" w:afterAutospacing="0" w:line="461" w:lineRule="atLeast"/>
        <w:ind w:firstLine="495"/>
        <w:jc w:val="both"/>
        <w:rPr>
          <w:rFonts w:ascii="微软雅黑" w:hAnsi="微软雅黑" w:eastAsia="微软雅黑"/>
          <w:color w:val="333333"/>
          <w:spacing w:val="6"/>
        </w:rPr>
      </w:pPr>
      <w:r>
        <w:rPr>
          <w:rFonts w:hint="eastAsia" w:ascii="仿宋_GB2312" w:hAnsi="微软雅黑" w:eastAsia="仿宋_GB2312"/>
          <w:color w:val="333333"/>
          <w:spacing w:val="6"/>
        </w:rPr>
        <w:t>为便于供应商及时了解政府采购信息，根据《财政部关于开展政府采购意向公开工作的通知》（财库〔2020〕10号）等有关规定，现将（单位名称）____年____（至）____月采购意向公开如下：</w:t>
      </w:r>
    </w:p>
    <w:p>
      <w:pPr>
        <w:pStyle w:val="6"/>
        <w:shd w:val="clear" w:color="auto" w:fill="FFFFFF"/>
        <w:spacing w:before="0" w:beforeAutospacing="0" w:after="0" w:afterAutospacing="0" w:line="461" w:lineRule="atLeast"/>
        <w:ind w:firstLine="495"/>
        <w:jc w:val="both"/>
        <w:rPr>
          <w:rFonts w:ascii="微软雅黑" w:hAnsi="微软雅黑" w:eastAsia="微软雅黑"/>
          <w:color w:val="333333"/>
          <w:spacing w:val="6"/>
        </w:rPr>
      </w:pPr>
    </w:p>
    <w:tbl>
      <w:tblPr>
        <w:tblStyle w:val="7"/>
        <w:tblW w:w="8303" w:type="dxa"/>
        <w:tblInd w:w="0" w:type="dxa"/>
        <w:tblLayout w:type="autofit"/>
        <w:tblCellMar>
          <w:top w:w="0" w:type="dxa"/>
          <w:left w:w="0" w:type="dxa"/>
          <w:bottom w:w="0" w:type="dxa"/>
          <w:right w:w="0" w:type="dxa"/>
        </w:tblCellMar>
      </w:tblPr>
      <w:tblGrid>
        <w:gridCol w:w="505"/>
        <w:gridCol w:w="1116"/>
        <w:gridCol w:w="2183"/>
        <w:gridCol w:w="1330"/>
        <w:gridCol w:w="1431"/>
        <w:gridCol w:w="1738"/>
      </w:tblGrid>
      <w:tr>
        <w:tc>
          <w:tcPr>
            <w:tcW w:w="505" w:type="dxa"/>
            <w:tcBorders>
              <w:top w:val="single" w:color="000000" w:sz="4" w:space="0"/>
              <w:left w:val="single" w:color="000000" w:sz="4" w:space="0"/>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34" w:lineRule="atLeast"/>
              <w:jc w:val="center"/>
            </w:pPr>
            <w:r>
              <w:rPr>
                <w:rFonts w:hint="eastAsia"/>
                <w:b/>
                <w:bCs/>
              </w:rPr>
              <w:t>序号</w:t>
            </w:r>
          </w:p>
        </w:tc>
        <w:tc>
          <w:tcPr>
            <w:tcW w:w="1116" w:type="dxa"/>
            <w:tcBorders>
              <w:top w:val="single" w:color="000000" w:sz="4" w:space="0"/>
              <w:left w:val="nil"/>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34" w:lineRule="atLeast"/>
              <w:jc w:val="center"/>
            </w:pPr>
            <w:r>
              <w:rPr>
                <w:rFonts w:hint="eastAsia"/>
                <w:b/>
                <w:bCs/>
              </w:rPr>
              <w:t>采购项目</w:t>
            </w:r>
          </w:p>
          <w:p>
            <w:pPr>
              <w:pStyle w:val="6"/>
              <w:wordWrap w:val="0"/>
              <w:spacing w:before="0" w:beforeAutospacing="0" w:after="0" w:afterAutospacing="0" w:line="334" w:lineRule="atLeast"/>
              <w:jc w:val="center"/>
            </w:pPr>
            <w:r>
              <w:rPr>
                <w:rFonts w:hint="eastAsia"/>
                <w:b/>
                <w:bCs/>
              </w:rPr>
              <w:t>名称</w:t>
            </w:r>
          </w:p>
        </w:tc>
        <w:tc>
          <w:tcPr>
            <w:tcW w:w="2183" w:type="dxa"/>
            <w:tcBorders>
              <w:top w:val="single" w:color="000000" w:sz="4" w:space="0"/>
              <w:left w:val="nil"/>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34" w:lineRule="atLeast"/>
              <w:jc w:val="center"/>
            </w:pPr>
            <w:r>
              <w:rPr>
                <w:rFonts w:hint="eastAsia"/>
                <w:b/>
                <w:bCs/>
              </w:rPr>
              <w:t>采购需求概况</w:t>
            </w:r>
          </w:p>
        </w:tc>
        <w:tc>
          <w:tcPr>
            <w:tcW w:w="1330" w:type="dxa"/>
            <w:tcBorders>
              <w:top w:val="single" w:color="000000" w:sz="4" w:space="0"/>
              <w:left w:val="nil"/>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34" w:lineRule="atLeast"/>
              <w:jc w:val="center"/>
            </w:pPr>
            <w:r>
              <w:rPr>
                <w:rFonts w:hint="eastAsia"/>
                <w:b/>
                <w:bCs/>
              </w:rPr>
              <w:t>预算金额</w:t>
            </w:r>
          </w:p>
          <w:p>
            <w:pPr>
              <w:pStyle w:val="6"/>
              <w:wordWrap w:val="0"/>
              <w:spacing w:before="0" w:beforeAutospacing="0" w:after="0" w:afterAutospacing="0" w:line="334" w:lineRule="atLeast"/>
              <w:jc w:val="center"/>
            </w:pPr>
            <w:r>
              <w:rPr>
                <w:rFonts w:hint="eastAsia"/>
                <w:b/>
                <w:bCs/>
              </w:rPr>
              <w:t>（万元）</w:t>
            </w:r>
          </w:p>
        </w:tc>
        <w:tc>
          <w:tcPr>
            <w:tcW w:w="1431" w:type="dxa"/>
            <w:tcBorders>
              <w:top w:val="single" w:color="000000" w:sz="4" w:space="0"/>
              <w:left w:val="nil"/>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34" w:lineRule="atLeast"/>
              <w:jc w:val="center"/>
            </w:pPr>
            <w:r>
              <w:rPr>
                <w:rFonts w:hint="eastAsia"/>
                <w:b/>
                <w:bCs/>
              </w:rPr>
              <w:t>预计采购时间</w:t>
            </w:r>
          </w:p>
          <w:p>
            <w:pPr>
              <w:pStyle w:val="6"/>
              <w:wordWrap w:val="0"/>
              <w:spacing w:before="0" w:beforeAutospacing="0" w:after="0" w:afterAutospacing="0" w:line="334" w:lineRule="atLeast"/>
              <w:jc w:val="center"/>
            </w:pPr>
            <w:r>
              <w:rPr>
                <w:rFonts w:hint="eastAsia"/>
                <w:b/>
                <w:bCs/>
              </w:rPr>
              <w:t>（填写到月）</w:t>
            </w:r>
          </w:p>
        </w:tc>
        <w:tc>
          <w:tcPr>
            <w:tcW w:w="1738" w:type="dxa"/>
            <w:tcBorders>
              <w:top w:val="single" w:color="000000" w:sz="4" w:space="0"/>
              <w:left w:val="nil"/>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34" w:lineRule="atLeast"/>
              <w:jc w:val="center"/>
            </w:pPr>
            <w:r>
              <w:rPr>
                <w:rFonts w:hint="eastAsia"/>
                <w:b/>
                <w:bCs/>
              </w:rPr>
              <w:t>备注</w:t>
            </w:r>
          </w:p>
        </w:tc>
      </w:tr>
      <w:tr>
        <w:tblPrEx>
          <w:tblCellMar>
            <w:top w:w="0" w:type="dxa"/>
            <w:left w:w="0" w:type="dxa"/>
            <w:bottom w:w="0" w:type="dxa"/>
            <w:right w:w="0" w:type="dxa"/>
          </w:tblCellMar>
        </w:tblPrEx>
        <w:tc>
          <w:tcPr>
            <w:tcW w:w="505" w:type="dxa"/>
            <w:tcBorders>
              <w:top w:val="nil"/>
              <w:left w:val="single" w:color="000000" w:sz="4" w:space="0"/>
              <w:bottom w:val="single" w:color="000000" w:sz="4" w:space="0"/>
              <w:right w:val="single" w:color="000000" w:sz="4" w:space="0"/>
            </w:tcBorders>
            <w:tcMar>
              <w:top w:w="0" w:type="dxa"/>
              <w:left w:w="81" w:type="dxa"/>
              <w:bottom w:w="0" w:type="dxa"/>
              <w:right w:w="81" w:type="dxa"/>
            </w:tcMar>
            <w:vAlign w:val="center"/>
          </w:tcPr>
          <w:p>
            <w:pPr>
              <w:wordWrap w:val="0"/>
              <w:rPr>
                <w:rFonts w:ascii="宋体" w:hAnsi="宋体" w:cs="宋体"/>
                <w:sz w:val="24"/>
              </w:rPr>
            </w:pPr>
          </w:p>
        </w:tc>
        <w:tc>
          <w:tcPr>
            <w:tcW w:w="1116" w:type="dxa"/>
            <w:tcBorders>
              <w:top w:val="nil"/>
              <w:left w:val="nil"/>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11" w:lineRule="atLeast"/>
            </w:pPr>
            <w:r>
              <w:rPr>
                <w:rFonts w:hint="eastAsia" w:ascii="仿宋_GB2312" w:eastAsia="仿宋_GB2312"/>
              </w:rPr>
              <w:t>填写具体采购项目的名称</w:t>
            </w:r>
          </w:p>
        </w:tc>
        <w:tc>
          <w:tcPr>
            <w:tcW w:w="2183" w:type="dxa"/>
            <w:tcBorders>
              <w:top w:val="nil"/>
              <w:left w:val="nil"/>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11" w:lineRule="atLeast"/>
            </w:pPr>
            <w:r>
              <w:rPr>
                <w:rFonts w:hint="eastAsia" w:ascii="仿宋_GB2312" w:eastAsia="仿宋_GB2312"/>
              </w:rPr>
              <w:t>填写采购标的名称，采购标的需实现的主要功能或者目标，采购标的数量，以及采购标的需满足的质量、服务、安全、时限等要求</w:t>
            </w:r>
          </w:p>
        </w:tc>
        <w:tc>
          <w:tcPr>
            <w:tcW w:w="1330" w:type="dxa"/>
            <w:tcBorders>
              <w:top w:val="nil"/>
              <w:left w:val="nil"/>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11" w:lineRule="atLeast"/>
            </w:pPr>
            <w:r>
              <w:rPr>
                <w:rFonts w:hint="eastAsia" w:ascii="仿宋_GB2312" w:eastAsia="仿宋_GB2312"/>
              </w:rPr>
              <w:t>精确到万元</w:t>
            </w:r>
          </w:p>
        </w:tc>
        <w:tc>
          <w:tcPr>
            <w:tcW w:w="1431" w:type="dxa"/>
            <w:tcBorders>
              <w:top w:val="nil"/>
              <w:left w:val="nil"/>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11" w:lineRule="atLeast"/>
            </w:pPr>
            <w:r>
              <w:rPr>
                <w:rFonts w:hint="eastAsia" w:ascii="仿宋_GB2312" w:eastAsia="仿宋_GB2312"/>
              </w:rPr>
              <w:t>填写到月</w:t>
            </w:r>
          </w:p>
        </w:tc>
        <w:tc>
          <w:tcPr>
            <w:tcW w:w="1738" w:type="dxa"/>
            <w:tcBorders>
              <w:top w:val="nil"/>
              <w:left w:val="nil"/>
              <w:bottom w:val="single" w:color="000000" w:sz="4" w:space="0"/>
              <w:right w:val="single" w:color="000000" w:sz="4" w:space="0"/>
            </w:tcBorders>
            <w:tcMar>
              <w:top w:w="0" w:type="dxa"/>
              <w:left w:w="81" w:type="dxa"/>
              <w:bottom w:w="0" w:type="dxa"/>
              <w:right w:w="81" w:type="dxa"/>
            </w:tcMar>
            <w:vAlign w:val="center"/>
          </w:tcPr>
          <w:p>
            <w:pPr>
              <w:pStyle w:val="6"/>
              <w:wordWrap w:val="0"/>
              <w:spacing w:before="0" w:beforeAutospacing="0" w:after="0" w:afterAutospacing="0" w:line="311" w:lineRule="atLeast"/>
            </w:pPr>
            <w:r>
              <w:rPr>
                <w:rFonts w:hint="eastAsia" w:ascii="仿宋_GB2312" w:eastAsia="仿宋_GB2312"/>
              </w:rPr>
              <w:t>其他需要说明的情况</w:t>
            </w:r>
          </w:p>
        </w:tc>
      </w:tr>
      <w:tr>
        <w:tblPrEx>
          <w:tblCellMar>
            <w:top w:w="0" w:type="dxa"/>
            <w:left w:w="0" w:type="dxa"/>
            <w:bottom w:w="0" w:type="dxa"/>
            <w:right w:w="0" w:type="dxa"/>
          </w:tblCellMar>
        </w:tblPrEx>
        <w:trPr>
          <w:trHeight w:val="530" w:hRule="atLeast"/>
        </w:trPr>
        <w:tc>
          <w:tcPr>
            <w:tcW w:w="505" w:type="dxa"/>
            <w:tcBorders>
              <w:top w:val="nil"/>
              <w:left w:val="single" w:color="000000" w:sz="4" w:space="0"/>
              <w:bottom w:val="single" w:color="000000" w:sz="4" w:space="0"/>
              <w:right w:val="single" w:color="000000" w:sz="4" w:space="0"/>
            </w:tcBorders>
            <w:tcMar>
              <w:top w:w="0" w:type="dxa"/>
              <w:left w:w="81" w:type="dxa"/>
              <w:bottom w:w="0" w:type="dxa"/>
              <w:right w:w="81" w:type="dxa"/>
            </w:tcMar>
          </w:tcPr>
          <w:p>
            <w:pPr>
              <w:wordWrap w:val="0"/>
              <w:rPr>
                <w:rFonts w:ascii="宋体" w:hAnsi="宋体" w:cs="宋体"/>
                <w:sz w:val="24"/>
              </w:rPr>
            </w:pPr>
          </w:p>
        </w:tc>
        <w:tc>
          <w:tcPr>
            <w:tcW w:w="1116" w:type="dxa"/>
            <w:tcBorders>
              <w:top w:val="nil"/>
              <w:left w:val="nil"/>
              <w:bottom w:val="single" w:color="000000" w:sz="4" w:space="0"/>
              <w:right w:val="single" w:color="000000" w:sz="4" w:space="0"/>
            </w:tcBorders>
            <w:tcMar>
              <w:top w:w="0" w:type="dxa"/>
              <w:left w:w="81" w:type="dxa"/>
              <w:bottom w:w="0" w:type="dxa"/>
              <w:right w:w="81" w:type="dxa"/>
            </w:tcMar>
          </w:tcPr>
          <w:p>
            <w:pPr>
              <w:pStyle w:val="6"/>
              <w:wordWrap w:val="0"/>
              <w:spacing w:before="0" w:beforeAutospacing="0" w:after="0" w:afterAutospacing="0" w:line="311" w:lineRule="atLeast"/>
            </w:pPr>
            <w:r>
              <w:rPr>
                <w:rFonts w:hint="eastAsia" w:ascii="仿宋_GB2312" w:eastAsia="仿宋_GB2312"/>
              </w:rPr>
              <w:t>……</w:t>
            </w:r>
          </w:p>
        </w:tc>
        <w:tc>
          <w:tcPr>
            <w:tcW w:w="2183" w:type="dxa"/>
            <w:tcBorders>
              <w:top w:val="nil"/>
              <w:left w:val="nil"/>
              <w:bottom w:val="single" w:color="000000" w:sz="4" w:space="0"/>
              <w:right w:val="single" w:color="000000" w:sz="4" w:space="0"/>
            </w:tcBorders>
            <w:tcMar>
              <w:top w:w="0" w:type="dxa"/>
              <w:left w:w="81" w:type="dxa"/>
              <w:bottom w:w="0" w:type="dxa"/>
              <w:right w:w="81" w:type="dxa"/>
            </w:tcMar>
          </w:tcPr>
          <w:p>
            <w:pPr>
              <w:wordWrap w:val="0"/>
              <w:rPr>
                <w:rFonts w:ascii="宋体" w:hAnsi="宋体" w:cs="宋体"/>
                <w:sz w:val="24"/>
              </w:rPr>
            </w:pPr>
          </w:p>
        </w:tc>
        <w:tc>
          <w:tcPr>
            <w:tcW w:w="1330" w:type="dxa"/>
            <w:tcBorders>
              <w:top w:val="nil"/>
              <w:left w:val="nil"/>
              <w:bottom w:val="single" w:color="000000" w:sz="4" w:space="0"/>
              <w:right w:val="single" w:color="000000" w:sz="4" w:space="0"/>
            </w:tcBorders>
            <w:tcMar>
              <w:top w:w="0" w:type="dxa"/>
              <w:left w:w="81" w:type="dxa"/>
              <w:bottom w:w="0" w:type="dxa"/>
              <w:right w:w="81" w:type="dxa"/>
            </w:tcMar>
          </w:tcPr>
          <w:p>
            <w:pPr>
              <w:wordWrap w:val="0"/>
              <w:rPr>
                <w:rFonts w:ascii="宋体" w:hAnsi="宋体" w:cs="宋体"/>
                <w:sz w:val="24"/>
              </w:rPr>
            </w:pPr>
          </w:p>
        </w:tc>
        <w:tc>
          <w:tcPr>
            <w:tcW w:w="1431" w:type="dxa"/>
            <w:tcBorders>
              <w:top w:val="nil"/>
              <w:left w:val="nil"/>
              <w:bottom w:val="single" w:color="000000" w:sz="4" w:space="0"/>
              <w:right w:val="single" w:color="000000" w:sz="4" w:space="0"/>
            </w:tcBorders>
            <w:tcMar>
              <w:top w:w="0" w:type="dxa"/>
              <w:left w:w="81" w:type="dxa"/>
              <w:bottom w:w="0" w:type="dxa"/>
              <w:right w:w="81" w:type="dxa"/>
            </w:tcMar>
          </w:tcPr>
          <w:p>
            <w:pPr>
              <w:wordWrap w:val="0"/>
              <w:rPr>
                <w:rFonts w:ascii="宋体" w:hAnsi="宋体" w:cs="宋体"/>
                <w:sz w:val="24"/>
              </w:rPr>
            </w:pPr>
          </w:p>
        </w:tc>
        <w:tc>
          <w:tcPr>
            <w:tcW w:w="1738" w:type="dxa"/>
            <w:tcBorders>
              <w:top w:val="nil"/>
              <w:left w:val="nil"/>
              <w:bottom w:val="single" w:color="000000" w:sz="4" w:space="0"/>
              <w:right w:val="single" w:color="000000" w:sz="4" w:space="0"/>
            </w:tcBorders>
            <w:tcMar>
              <w:top w:w="0" w:type="dxa"/>
              <w:left w:w="81" w:type="dxa"/>
              <w:bottom w:w="0" w:type="dxa"/>
              <w:right w:w="81" w:type="dxa"/>
            </w:tcMar>
          </w:tcPr>
          <w:p>
            <w:pPr>
              <w:wordWrap w:val="0"/>
              <w:rPr>
                <w:rFonts w:ascii="宋体" w:hAnsi="宋体" w:cs="宋体"/>
                <w:sz w:val="24"/>
              </w:rPr>
            </w:pPr>
          </w:p>
        </w:tc>
      </w:tr>
      <w:tr>
        <w:tblPrEx>
          <w:tblCellMar>
            <w:top w:w="0" w:type="dxa"/>
            <w:left w:w="0" w:type="dxa"/>
            <w:bottom w:w="0" w:type="dxa"/>
            <w:right w:w="0" w:type="dxa"/>
          </w:tblCellMar>
        </w:tblPrEx>
        <w:trPr>
          <w:trHeight w:val="530" w:hRule="atLeast"/>
        </w:trPr>
        <w:tc>
          <w:tcPr>
            <w:tcW w:w="505" w:type="dxa"/>
            <w:tcBorders>
              <w:top w:val="nil"/>
              <w:left w:val="single" w:color="000000" w:sz="4" w:space="0"/>
              <w:bottom w:val="single" w:color="000000" w:sz="4" w:space="0"/>
              <w:right w:val="single" w:color="000000" w:sz="4" w:space="0"/>
            </w:tcBorders>
            <w:tcMar>
              <w:top w:w="0" w:type="dxa"/>
              <w:left w:w="81" w:type="dxa"/>
              <w:bottom w:w="0" w:type="dxa"/>
              <w:right w:w="81" w:type="dxa"/>
            </w:tcMar>
          </w:tcPr>
          <w:p>
            <w:pPr>
              <w:wordWrap w:val="0"/>
              <w:rPr>
                <w:rFonts w:ascii="宋体" w:hAnsi="宋体" w:cs="宋体"/>
                <w:sz w:val="24"/>
              </w:rPr>
            </w:pPr>
          </w:p>
        </w:tc>
        <w:tc>
          <w:tcPr>
            <w:tcW w:w="1116" w:type="dxa"/>
            <w:tcBorders>
              <w:top w:val="nil"/>
              <w:left w:val="nil"/>
              <w:bottom w:val="single" w:color="000000" w:sz="4" w:space="0"/>
              <w:right w:val="single" w:color="000000" w:sz="4" w:space="0"/>
            </w:tcBorders>
            <w:tcMar>
              <w:top w:w="0" w:type="dxa"/>
              <w:left w:w="81" w:type="dxa"/>
              <w:bottom w:w="0" w:type="dxa"/>
              <w:right w:w="81" w:type="dxa"/>
            </w:tcMar>
          </w:tcPr>
          <w:p>
            <w:pPr>
              <w:pStyle w:val="6"/>
              <w:wordWrap w:val="0"/>
              <w:spacing w:before="0" w:beforeAutospacing="0" w:after="0" w:afterAutospacing="0" w:line="311" w:lineRule="atLeast"/>
            </w:pPr>
            <w:r>
              <w:rPr>
                <w:rFonts w:hint="eastAsia" w:ascii="仿宋_GB2312" w:eastAsia="仿宋_GB2312"/>
              </w:rPr>
              <w:t>……</w:t>
            </w:r>
          </w:p>
        </w:tc>
        <w:tc>
          <w:tcPr>
            <w:tcW w:w="2183" w:type="dxa"/>
            <w:tcBorders>
              <w:top w:val="nil"/>
              <w:left w:val="nil"/>
              <w:bottom w:val="single" w:color="000000" w:sz="4" w:space="0"/>
              <w:right w:val="single" w:color="000000" w:sz="4" w:space="0"/>
            </w:tcBorders>
            <w:tcMar>
              <w:top w:w="0" w:type="dxa"/>
              <w:left w:w="81" w:type="dxa"/>
              <w:bottom w:w="0" w:type="dxa"/>
              <w:right w:w="81" w:type="dxa"/>
            </w:tcMar>
          </w:tcPr>
          <w:p>
            <w:pPr>
              <w:wordWrap w:val="0"/>
              <w:rPr>
                <w:rFonts w:ascii="宋体" w:hAnsi="宋体" w:cs="宋体"/>
                <w:sz w:val="24"/>
              </w:rPr>
            </w:pPr>
          </w:p>
        </w:tc>
        <w:tc>
          <w:tcPr>
            <w:tcW w:w="1330" w:type="dxa"/>
            <w:tcBorders>
              <w:top w:val="nil"/>
              <w:left w:val="nil"/>
              <w:bottom w:val="single" w:color="000000" w:sz="4" w:space="0"/>
              <w:right w:val="single" w:color="000000" w:sz="4" w:space="0"/>
            </w:tcBorders>
            <w:tcMar>
              <w:top w:w="0" w:type="dxa"/>
              <w:left w:w="81" w:type="dxa"/>
              <w:bottom w:w="0" w:type="dxa"/>
              <w:right w:w="81" w:type="dxa"/>
            </w:tcMar>
          </w:tcPr>
          <w:p>
            <w:pPr>
              <w:wordWrap w:val="0"/>
              <w:rPr>
                <w:rFonts w:ascii="宋体" w:hAnsi="宋体" w:cs="宋体"/>
                <w:sz w:val="24"/>
              </w:rPr>
            </w:pPr>
          </w:p>
        </w:tc>
        <w:tc>
          <w:tcPr>
            <w:tcW w:w="1431" w:type="dxa"/>
            <w:tcBorders>
              <w:top w:val="nil"/>
              <w:left w:val="nil"/>
              <w:bottom w:val="single" w:color="000000" w:sz="4" w:space="0"/>
              <w:right w:val="single" w:color="000000" w:sz="4" w:space="0"/>
            </w:tcBorders>
            <w:tcMar>
              <w:top w:w="0" w:type="dxa"/>
              <w:left w:w="81" w:type="dxa"/>
              <w:bottom w:w="0" w:type="dxa"/>
              <w:right w:w="81" w:type="dxa"/>
            </w:tcMar>
          </w:tcPr>
          <w:p>
            <w:pPr>
              <w:wordWrap w:val="0"/>
              <w:rPr>
                <w:rFonts w:ascii="宋体" w:hAnsi="宋体" w:cs="宋体"/>
                <w:sz w:val="24"/>
              </w:rPr>
            </w:pPr>
          </w:p>
        </w:tc>
        <w:tc>
          <w:tcPr>
            <w:tcW w:w="1738" w:type="dxa"/>
            <w:tcBorders>
              <w:top w:val="nil"/>
              <w:left w:val="nil"/>
              <w:bottom w:val="single" w:color="000000" w:sz="4" w:space="0"/>
              <w:right w:val="single" w:color="000000" w:sz="4" w:space="0"/>
            </w:tcBorders>
            <w:tcMar>
              <w:top w:w="0" w:type="dxa"/>
              <w:left w:w="81" w:type="dxa"/>
              <w:bottom w:w="0" w:type="dxa"/>
              <w:right w:w="81" w:type="dxa"/>
            </w:tcMar>
          </w:tcPr>
          <w:p>
            <w:pPr>
              <w:wordWrap w:val="0"/>
              <w:rPr>
                <w:rFonts w:ascii="宋体" w:hAnsi="宋体" w:cs="宋体"/>
                <w:sz w:val="24"/>
              </w:rPr>
            </w:pPr>
          </w:p>
        </w:tc>
      </w:tr>
    </w:tbl>
    <w:p>
      <w:pPr>
        <w:pStyle w:val="6"/>
        <w:shd w:val="clear" w:color="auto" w:fill="FFFFFF"/>
        <w:spacing w:before="0" w:beforeAutospacing="0" w:after="0" w:afterAutospacing="0" w:line="461" w:lineRule="atLeast"/>
        <w:ind w:firstLine="495"/>
        <w:jc w:val="both"/>
        <w:rPr>
          <w:rFonts w:ascii="微软雅黑" w:hAnsi="微软雅黑" w:eastAsia="微软雅黑"/>
          <w:color w:val="333333"/>
          <w:spacing w:val="6"/>
        </w:rPr>
      </w:pPr>
      <w:r>
        <w:rPr>
          <w:rFonts w:hint="eastAsia" w:ascii="仿宋_GB2312" w:hAnsi="微软雅黑" w:eastAsia="仿宋_GB2312"/>
          <w:color w:val="333333"/>
          <w:spacing w:val="6"/>
        </w:rPr>
        <w:t>本次公开的采购意向是本单位政府采购工作的初步安排，具体采购项目情况以相关采购公告和采购文件为准。</w:t>
      </w:r>
    </w:p>
    <w:p>
      <w:pPr>
        <w:pStyle w:val="6"/>
        <w:shd w:val="clear" w:color="auto" w:fill="FFFFFF"/>
        <w:spacing w:before="0" w:beforeAutospacing="0" w:after="0" w:afterAutospacing="0" w:line="461" w:lineRule="atLeast"/>
        <w:ind w:firstLine="737"/>
        <w:jc w:val="right"/>
        <w:rPr>
          <w:rFonts w:ascii="微软雅黑" w:hAnsi="微软雅黑" w:eastAsia="微软雅黑"/>
          <w:color w:val="333333"/>
          <w:spacing w:val="6"/>
        </w:rPr>
      </w:pPr>
      <w:r>
        <w:rPr>
          <w:rFonts w:hint="eastAsia" w:ascii="仿宋_GB2312" w:hAnsi="微软雅黑" w:eastAsia="仿宋_GB2312"/>
          <w:color w:val="333333"/>
          <w:spacing w:val="6"/>
        </w:rPr>
        <w:t>                                                              XX（单位名称） </w:t>
      </w:r>
    </w:p>
    <w:p>
      <w:pPr>
        <w:pStyle w:val="6"/>
        <w:shd w:val="clear" w:color="auto" w:fill="FFFFFF"/>
        <w:spacing w:before="0" w:beforeAutospacing="0" w:after="0" w:afterAutospacing="0"/>
        <w:ind w:firstLine="424"/>
        <w:jc w:val="right"/>
        <w:rPr>
          <w:rFonts w:ascii="微软雅黑" w:hAnsi="微软雅黑" w:eastAsia="微软雅黑"/>
          <w:color w:val="333333"/>
          <w:spacing w:val="6"/>
        </w:rPr>
      </w:pPr>
      <w:r>
        <w:rPr>
          <w:rFonts w:hint="eastAsia" w:ascii="仿宋_GB2312" w:hAnsi="微软雅黑" w:eastAsia="仿宋_GB2312"/>
          <w:color w:val="333333"/>
          <w:spacing w:val="6"/>
        </w:rPr>
        <w:t>年  月  日    </w:t>
      </w:r>
    </w:p>
    <w:p>
      <w:pPr>
        <w:rPr>
          <w:sz w:val="24"/>
        </w:rPr>
      </w:pPr>
    </w:p>
    <w:p>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0F4A"/>
    <w:rsid w:val="000775B6"/>
    <w:rsid w:val="000D54E0"/>
    <w:rsid w:val="00235C2F"/>
    <w:rsid w:val="00242631"/>
    <w:rsid w:val="00260F16"/>
    <w:rsid w:val="002F5BAF"/>
    <w:rsid w:val="00381111"/>
    <w:rsid w:val="00390F4A"/>
    <w:rsid w:val="003B0881"/>
    <w:rsid w:val="00444410"/>
    <w:rsid w:val="004B73E7"/>
    <w:rsid w:val="004E629B"/>
    <w:rsid w:val="004F3582"/>
    <w:rsid w:val="005E15F1"/>
    <w:rsid w:val="006D30C0"/>
    <w:rsid w:val="00797D4C"/>
    <w:rsid w:val="008132C7"/>
    <w:rsid w:val="009A12E9"/>
    <w:rsid w:val="00A33BC4"/>
    <w:rsid w:val="00A87DF6"/>
    <w:rsid w:val="00B30197"/>
    <w:rsid w:val="00B51AF1"/>
    <w:rsid w:val="00B92CF1"/>
    <w:rsid w:val="00BC442C"/>
    <w:rsid w:val="00D40B0A"/>
    <w:rsid w:val="00EA594C"/>
    <w:rsid w:val="00EC1A1B"/>
    <w:rsid w:val="04845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8"/>
    <w:semiHidden/>
    <w:unhideWhenUsed/>
    <w:uiPriority w:val="99"/>
    <w:pPr>
      <w:tabs>
        <w:tab w:val="center" w:pos="4153"/>
        <w:tab w:val="right" w:pos="8306"/>
      </w:tabs>
      <w:snapToGrid w:val="0"/>
      <w:jc w:val="left"/>
    </w:pPr>
    <w:rPr>
      <w:sz w:val="18"/>
      <w:szCs w:val="18"/>
    </w:rPr>
  </w:style>
  <w:style w:type="paragraph" w:styleId="5">
    <w:name w:val="header"/>
    <w:basedOn w:val="1"/>
    <w:link w:val="1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uiPriority w:val="99"/>
    <w:rPr>
      <w:color w:val="3366CC"/>
      <w:u w:val="none"/>
    </w:rPr>
  </w:style>
  <w:style w:type="character" w:customStyle="1" w:styleId="12">
    <w:name w:val="标题 1 Char"/>
    <w:basedOn w:val="8"/>
    <w:link w:val="2"/>
    <w:uiPriority w:val="9"/>
    <w:rPr>
      <w:b/>
      <w:bCs/>
      <w:kern w:val="44"/>
      <w:sz w:val="44"/>
      <w:szCs w:val="44"/>
    </w:rPr>
  </w:style>
  <w:style w:type="character" w:customStyle="1" w:styleId="13">
    <w:name w:val="标题 2 Char"/>
    <w:basedOn w:val="8"/>
    <w:link w:val="3"/>
    <w:uiPriority w:val="0"/>
    <w:rPr>
      <w:rFonts w:ascii="Cambria" w:hAnsi="Cambria" w:eastAsia="宋体" w:cs="Times New Roman"/>
      <w:b/>
      <w:bCs/>
      <w:kern w:val="2"/>
      <w:sz w:val="32"/>
      <w:szCs w:val="32"/>
    </w:rPr>
  </w:style>
  <w:style w:type="paragraph" w:customStyle="1" w:styleId="14">
    <w:name w:val="列出段落1"/>
    <w:basedOn w:val="1"/>
    <w:qFormat/>
    <w:uiPriority w:val="0"/>
    <w:pPr>
      <w:ind w:firstLine="420" w:firstLineChars="200"/>
    </w:pPr>
    <w:rPr>
      <w:rFonts w:ascii="Calibri" w:hAnsi="Calibri"/>
      <w:szCs w:val="22"/>
    </w:rPr>
  </w:style>
  <w:style w:type="paragraph" w:customStyle="1" w:styleId="1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6">
    <w:name w:val="列出段落2"/>
    <w:basedOn w:val="1"/>
    <w:qFormat/>
    <w:uiPriority w:val="34"/>
    <w:pPr>
      <w:ind w:firstLine="420" w:firstLineChars="200"/>
    </w:pPr>
    <w:rPr>
      <w:rFonts w:ascii="Calibri" w:hAnsi="Calibri"/>
      <w:szCs w:val="22"/>
    </w:rPr>
  </w:style>
  <w:style w:type="character" w:customStyle="1" w:styleId="17">
    <w:name w:val="页眉 Char"/>
    <w:basedOn w:val="8"/>
    <w:link w:val="5"/>
    <w:semiHidden/>
    <w:uiPriority w:val="99"/>
    <w:rPr>
      <w:kern w:val="2"/>
      <w:sz w:val="18"/>
      <w:szCs w:val="18"/>
    </w:rPr>
  </w:style>
  <w:style w:type="character" w:customStyle="1" w:styleId="18">
    <w:name w:val="页脚 Char"/>
    <w:basedOn w:val="8"/>
    <w:link w:val="4"/>
    <w:semiHidden/>
    <w:uiPriority w:val="99"/>
    <w:rPr>
      <w:kern w:val="2"/>
      <w:sz w:val="18"/>
      <w:szCs w:val="18"/>
    </w:rPr>
  </w:style>
  <w:style w:type="character" w:customStyle="1" w:styleId="19">
    <w:name w:val="rich_media_meta"/>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354</Words>
  <Characters>2019</Characters>
  <Lines>16</Lines>
  <Paragraphs>4</Paragraphs>
  <TotalTime>18</TotalTime>
  <ScaleCrop>false</ScaleCrop>
  <LinksUpToDate>false</LinksUpToDate>
  <CharactersWithSpaces>2369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2021-09-02T01:03:00Z</dcterms:created>
  <dc:creator>未定义</dc:creator>
  <cp:lastModifiedBy>汪科辰</cp:lastModifiedBy>
  <dcterms:modified xsi:type="dcterms:W3CDTF">2021-09-02T01:56:19Z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B51EE90C8CB34D12B4FDFB17F31AABBA</vt:lpwstr>
  </property>
</Properties>
</file>